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76FD7" w14:textId="77777777" w:rsidR="000E2DFA" w:rsidRDefault="000E2DFA">
      <w:pPr>
        <w:widowControl w:val="0"/>
        <w:pBdr>
          <w:top w:val="nil"/>
          <w:left w:val="nil"/>
          <w:bottom w:val="nil"/>
          <w:right w:val="nil"/>
          <w:between w:val="nil"/>
        </w:pBdr>
        <w:spacing w:after="0" w:line="276" w:lineRule="auto"/>
      </w:pPr>
      <w:bookmarkStart w:id="0" w:name="_GoBack"/>
      <w:bookmarkEnd w:id="0"/>
    </w:p>
    <w:p w14:paraId="326A43AD" w14:textId="77777777" w:rsidR="000E2DFA"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1B32302" w14:textId="77777777" w:rsidR="000E2DFA"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bookmarkStart w:id="1" w:name="_heading=h.gjdgxs" w:colFirst="0" w:colLast="0"/>
      <w:bookmarkEnd w:id="1"/>
      <w:r w:rsidRPr="001835CF">
        <w:rPr>
          <w:rFonts w:ascii="Arial Narrow" w:eastAsia="Arial Narrow" w:hAnsi="Arial Narrow" w:cs="Arial Narrow"/>
          <w:color w:val="000000"/>
          <w:sz w:val="24"/>
          <w:szCs w:val="24"/>
        </w:rPr>
        <w:t>Bogotá D.C. 29 de octubre de 2024</w:t>
      </w:r>
    </w:p>
    <w:p w14:paraId="4052D16D"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4392A4C"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0188E6F"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291D1696" w14:textId="77777777" w:rsidR="000E2DFA"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Doctora</w:t>
      </w:r>
    </w:p>
    <w:p w14:paraId="5BF83F4C" w14:textId="77777777" w:rsidR="0003031B" w:rsidRPr="001835CF" w:rsidRDefault="0003031B" w:rsidP="0003031B">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1835CF">
        <w:rPr>
          <w:rFonts w:ascii="Arial Narrow" w:eastAsia="Arial Narrow" w:hAnsi="Arial Narrow" w:cs="Arial Narrow"/>
          <w:b/>
          <w:color w:val="000000"/>
          <w:sz w:val="24"/>
          <w:szCs w:val="24"/>
        </w:rPr>
        <w:t>ANA PAOLA GARCÍA SOTO</w:t>
      </w:r>
    </w:p>
    <w:p w14:paraId="5DA13966" w14:textId="77777777" w:rsidR="000E2DFA" w:rsidRPr="001835CF" w:rsidRDefault="0003031B">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001835CF">
        <w:rPr>
          <w:rFonts w:ascii="Arial Narrow" w:eastAsia="Arial Narrow" w:hAnsi="Arial Narrow" w:cs="Arial Narrow"/>
          <w:b/>
          <w:color w:val="000000"/>
          <w:sz w:val="24"/>
          <w:szCs w:val="24"/>
        </w:rPr>
        <w:t xml:space="preserve">Presidenta </w:t>
      </w:r>
    </w:p>
    <w:p w14:paraId="0D23E263" w14:textId="77777777" w:rsidR="0003031B"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 xml:space="preserve">Comisión Primera Constitucional Permanente </w:t>
      </w:r>
    </w:p>
    <w:p w14:paraId="34B0ABC2" w14:textId="77777777" w:rsidR="000E2DFA"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Cámara de Representantes</w:t>
      </w:r>
    </w:p>
    <w:p w14:paraId="78BA095D"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14063777"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D8A7B50"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54A996E9" w14:textId="77777777" w:rsidR="0003031B" w:rsidRPr="001835CF" w:rsidRDefault="0003031B" w:rsidP="00741F39">
      <w:pPr>
        <w:pBdr>
          <w:top w:val="nil"/>
          <w:left w:val="nil"/>
          <w:bottom w:val="nil"/>
          <w:right w:val="nil"/>
          <w:between w:val="nil"/>
        </w:pBdr>
        <w:ind w:left="3540"/>
        <w:jc w:val="both"/>
        <w:rPr>
          <w:rFonts w:ascii="Arial Narrow" w:eastAsia="Arial" w:hAnsi="Arial Narrow" w:cs="Arial"/>
          <w:i/>
          <w:color w:val="000000"/>
          <w:sz w:val="24"/>
          <w:szCs w:val="24"/>
        </w:rPr>
      </w:pPr>
      <w:r w:rsidRPr="001835CF">
        <w:rPr>
          <w:rFonts w:ascii="Arial Narrow" w:eastAsia="Arial Narrow" w:hAnsi="Arial Narrow" w:cs="Arial Narrow"/>
          <w:b/>
          <w:color w:val="000000"/>
          <w:sz w:val="24"/>
          <w:szCs w:val="24"/>
        </w:rPr>
        <w:t xml:space="preserve">Ref.: </w:t>
      </w:r>
      <w:r w:rsidRPr="001835CF">
        <w:rPr>
          <w:rFonts w:ascii="Arial Narrow" w:eastAsia="Arial" w:hAnsi="Arial Narrow" w:cs="Arial"/>
          <w:i/>
          <w:color w:val="000000"/>
          <w:sz w:val="24"/>
          <w:szCs w:val="24"/>
        </w:rPr>
        <w:t>Informe de ponencia para primer debate –Proyecto</w:t>
      </w:r>
      <w:r w:rsidRPr="001835CF">
        <w:rPr>
          <w:rFonts w:ascii="Arial Narrow" w:eastAsia="Arial" w:hAnsi="Arial Narrow" w:cs="Arial"/>
          <w:i/>
          <w:sz w:val="24"/>
          <w:szCs w:val="24"/>
        </w:rPr>
        <w:t xml:space="preserve"> de </w:t>
      </w:r>
      <w:r w:rsidRPr="001835CF">
        <w:rPr>
          <w:rFonts w:ascii="Arial Narrow" w:eastAsia="Arial" w:hAnsi="Arial Narrow" w:cs="Arial"/>
          <w:i/>
          <w:color w:val="000000"/>
          <w:sz w:val="24"/>
          <w:szCs w:val="24"/>
        </w:rPr>
        <w:t xml:space="preserve">Ley </w:t>
      </w:r>
      <w:r w:rsidR="00741F39" w:rsidRPr="001835CF">
        <w:rPr>
          <w:rFonts w:ascii="Arial Narrow" w:eastAsia="Arial" w:hAnsi="Arial Narrow" w:cs="Arial"/>
          <w:i/>
          <w:color w:val="000000"/>
          <w:sz w:val="24"/>
          <w:szCs w:val="24"/>
        </w:rPr>
        <w:t xml:space="preserve">248 de 2024 </w:t>
      </w:r>
      <w:r w:rsidRPr="001835CF">
        <w:rPr>
          <w:rFonts w:ascii="Arial Narrow" w:eastAsia="Arial" w:hAnsi="Arial Narrow" w:cs="Arial"/>
          <w:i/>
          <w:color w:val="000000"/>
          <w:sz w:val="24"/>
          <w:szCs w:val="24"/>
        </w:rPr>
        <w:t xml:space="preserve">Cámara </w:t>
      </w:r>
      <w:r w:rsidRPr="001835CF">
        <w:rPr>
          <w:rFonts w:ascii="Arial Narrow" w:eastAsia="Arial" w:hAnsi="Arial Narrow" w:cs="Arial"/>
          <w:b/>
          <w:i/>
          <w:color w:val="000000"/>
          <w:sz w:val="24"/>
          <w:szCs w:val="24"/>
        </w:rPr>
        <w:t>“</w:t>
      </w:r>
      <w:r w:rsidR="00741F39" w:rsidRPr="001835CF">
        <w:rPr>
          <w:rFonts w:ascii="Arial Narrow" w:eastAsia="Arial" w:hAnsi="Arial Narrow" w:cs="Arial"/>
          <w:b/>
          <w:bCs/>
          <w:i/>
          <w:color w:val="000000"/>
          <w:sz w:val="24"/>
          <w:szCs w:val="24"/>
        </w:rPr>
        <w:t>Por medio del cual se regula el cannabis de uso adulto y se dictan otras disposiciones</w:t>
      </w:r>
      <w:r w:rsidRPr="001835CF">
        <w:rPr>
          <w:rFonts w:ascii="Arial Narrow" w:eastAsia="Arial" w:hAnsi="Arial Narrow" w:cs="Arial"/>
          <w:b/>
          <w:i/>
          <w:color w:val="000000"/>
          <w:sz w:val="24"/>
          <w:szCs w:val="24"/>
        </w:rPr>
        <w:t>”.</w:t>
      </w:r>
    </w:p>
    <w:p w14:paraId="090F433D" w14:textId="77777777" w:rsidR="000E2DFA" w:rsidRPr="001835CF" w:rsidRDefault="000E2DFA" w:rsidP="00741F39">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E918F9F" w14:textId="77777777" w:rsidR="001835CF" w:rsidRDefault="001835C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29931F6D" w14:textId="47A636CF" w:rsidR="000E2DFA" w:rsidRPr="001835CF" w:rsidRDefault="00741F39">
      <w:pPr>
        <w:pBdr>
          <w:top w:val="nil"/>
          <w:left w:val="nil"/>
          <w:bottom w:val="nil"/>
          <w:right w:val="nil"/>
          <w:between w:val="nil"/>
        </w:pBdr>
        <w:spacing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Respetada presidenta</w:t>
      </w:r>
      <w:r w:rsidR="0003031B" w:rsidRPr="001835CF">
        <w:rPr>
          <w:rFonts w:ascii="Arial Narrow" w:eastAsia="Arial Narrow" w:hAnsi="Arial Narrow" w:cs="Arial Narrow"/>
          <w:color w:val="000000"/>
          <w:sz w:val="24"/>
          <w:szCs w:val="24"/>
        </w:rPr>
        <w:t>,</w:t>
      </w:r>
    </w:p>
    <w:p w14:paraId="0C296F25" w14:textId="77777777" w:rsidR="000E2DFA" w:rsidRPr="001835CF" w:rsidRDefault="00741F39" w:rsidP="00741F39">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 xml:space="preserve">De conformidad con la designación realizada por la mesa directiva, rendimos ponencia positiva para </w:t>
      </w:r>
      <w:r w:rsidRPr="001835CF">
        <w:rPr>
          <w:rFonts w:ascii="Arial Narrow" w:eastAsia="Arial Narrow" w:hAnsi="Arial Narrow" w:cs="Arial Narrow"/>
          <w:iCs/>
          <w:color w:val="000000"/>
          <w:sz w:val="24"/>
          <w:szCs w:val="24"/>
        </w:rPr>
        <w:t>primer debate d</w:t>
      </w:r>
      <w:r w:rsidR="0003031B" w:rsidRPr="001835CF">
        <w:rPr>
          <w:rFonts w:ascii="Arial Narrow" w:eastAsia="Arial Narrow" w:hAnsi="Arial Narrow" w:cs="Arial Narrow"/>
          <w:color w:val="000000"/>
          <w:sz w:val="24"/>
          <w:szCs w:val="24"/>
        </w:rPr>
        <w:t xml:space="preserve">el Proyecto de Ley </w:t>
      </w:r>
      <w:r w:rsidR="00212D7F" w:rsidRPr="001835CF">
        <w:rPr>
          <w:rFonts w:ascii="Arial Narrow" w:eastAsia="Arial Narrow" w:hAnsi="Arial Narrow" w:cs="Arial Narrow"/>
          <w:color w:val="000000"/>
          <w:sz w:val="24"/>
          <w:szCs w:val="24"/>
        </w:rPr>
        <w:t xml:space="preserve">248 </w:t>
      </w:r>
      <w:r w:rsidR="0003031B" w:rsidRPr="001835CF">
        <w:rPr>
          <w:rFonts w:ascii="Arial Narrow" w:eastAsia="Arial Narrow" w:hAnsi="Arial Narrow" w:cs="Arial Narrow"/>
          <w:color w:val="000000"/>
          <w:sz w:val="24"/>
          <w:szCs w:val="24"/>
        </w:rPr>
        <w:t>de 2024 “Por medio del cual se regula el cannabis de uso adulto y se dictan otras disposiciones”</w:t>
      </w:r>
      <w:r w:rsidR="00212D7F" w:rsidRPr="001835CF">
        <w:rPr>
          <w:rFonts w:ascii="Arial Narrow" w:eastAsia="Arial Narrow" w:hAnsi="Arial Narrow" w:cs="Arial Narrow"/>
          <w:color w:val="000000"/>
          <w:sz w:val="24"/>
          <w:szCs w:val="24"/>
        </w:rPr>
        <w:t>.</w:t>
      </w:r>
    </w:p>
    <w:p w14:paraId="2C998A0D" w14:textId="77777777" w:rsidR="00212D7F" w:rsidRPr="001835CF" w:rsidRDefault="00212D7F" w:rsidP="00741F39">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
    <w:p w14:paraId="1951E3A0" w14:textId="77777777" w:rsidR="000E2DFA" w:rsidRPr="001835CF" w:rsidRDefault="0003031B">
      <w:pPr>
        <w:pBdr>
          <w:top w:val="nil"/>
          <w:left w:val="nil"/>
          <w:bottom w:val="nil"/>
          <w:right w:val="nil"/>
          <w:between w:val="nil"/>
        </w:pBdr>
        <w:spacing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 xml:space="preserve">Cordialmente, </w:t>
      </w:r>
    </w:p>
    <w:p w14:paraId="1D90C7E7" w14:textId="61083757" w:rsidR="000E2DFA" w:rsidRDefault="000E2DF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33FFBAB" w14:textId="77777777" w:rsidR="001835CF" w:rsidRPr="001835CF" w:rsidRDefault="001835C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5651A6E2" w14:textId="77777777" w:rsidR="00212D7F" w:rsidRPr="001835CF" w:rsidRDefault="00212D7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57C0E43" w14:textId="77777777" w:rsidR="000E2DFA" w:rsidRPr="001835CF" w:rsidRDefault="000E2DFA">
      <w:pPr>
        <w:spacing w:line="271" w:lineRule="auto"/>
        <w:jc w:val="both"/>
        <w:rPr>
          <w:rFonts w:ascii="Arial Narrow" w:eastAsia="Arial" w:hAnsi="Arial Narrow" w:cs="Arial"/>
          <w:sz w:val="24"/>
          <w:szCs w:val="24"/>
        </w:rPr>
      </w:pPr>
    </w:p>
    <w:p w14:paraId="533BD1DE" w14:textId="77777777" w:rsidR="00730BAC" w:rsidRPr="001835CF" w:rsidRDefault="00730BAC" w:rsidP="00730BAC">
      <w:pPr>
        <w:spacing w:after="0" w:line="240" w:lineRule="auto"/>
        <w:jc w:val="center"/>
        <w:rPr>
          <w:rFonts w:ascii="Arial Narrow" w:eastAsia="Arial Narrow" w:hAnsi="Arial Narrow" w:cs="Arial Narrow"/>
          <w:b/>
          <w:sz w:val="24"/>
          <w:szCs w:val="24"/>
        </w:rPr>
      </w:pPr>
      <w:r w:rsidRPr="001835CF">
        <w:rPr>
          <w:rFonts w:ascii="Arial Narrow" w:eastAsia="Arial Narrow" w:hAnsi="Arial Narrow" w:cs="Arial Narrow"/>
          <w:b/>
          <w:sz w:val="24"/>
          <w:szCs w:val="24"/>
        </w:rPr>
        <w:t>ALEJANDRO OCAMPO GIRALDO</w:t>
      </w:r>
    </w:p>
    <w:p w14:paraId="38EF0DF6" w14:textId="77777777" w:rsidR="00730BAC" w:rsidRPr="001835CF" w:rsidRDefault="00730BAC" w:rsidP="00730BAC">
      <w:pPr>
        <w:spacing w:after="0" w:line="240" w:lineRule="auto"/>
        <w:jc w:val="center"/>
        <w:rPr>
          <w:rFonts w:ascii="Arial Narrow" w:eastAsia="Arial Narrow" w:hAnsi="Arial Narrow" w:cs="Arial Narrow"/>
          <w:sz w:val="24"/>
          <w:szCs w:val="24"/>
        </w:rPr>
      </w:pPr>
      <w:r w:rsidRPr="001835CF">
        <w:rPr>
          <w:rFonts w:ascii="Arial Narrow" w:eastAsia="Arial Narrow" w:hAnsi="Arial Narrow" w:cs="Arial Narrow"/>
          <w:sz w:val="24"/>
          <w:szCs w:val="24"/>
        </w:rPr>
        <w:t>Representante a la Cámara</w:t>
      </w:r>
    </w:p>
    <w:p w14:paraId="45F767D0" w14:textId="77777777" w:rsidR="00730BAC" w:rsidRPr="001835CF" w:rsidRDefault="00730BAC" w:rsidP="00730BAC">
      <w:pPr>
        <w:spacing w:after="0" w:line="240" w:lineRule="auto"/>
        <w:jc w:val="center"/>
        <w:rPr>
          <w:rFonts w:ascii="Arial Narrow" w:eastAsia="Arial Narrow" w:hAnsi="Arial Narrow" w:cs="Arial Narrow"/>
          <w:sz w:val="24"/>
          <w:szCs w:val="24"/>
        </w:rPr>
      </w:pPr>
      <w:r w:rsidRPr="001835CF">
        <w:rPr>
          <w:rFonts w:ascii="Arial Narrow" w:eastAsia="Arial Narrow" w:hAnsi="Arial Narrow" w:cs="Arial Narrow"/>
          <w:sz w:val="24"/>
          <w:szCs w:val="24"/>
        </w:rPr>
        <w:t>Valle del Cauca</w:t>
      </w:r>
    </w:p>
    <w:p w14:paraId="3F568169" w14:textId="77777777" w:rsidR="000E2DFA" w:rsidRDefault="000E2DFA">
      <w:pPr>
        <w:spacing w:after="0" w:line="240" w:lineRule="auto"/>
        <w:jc w:val="center"/>
        <w:rPr>
          <w:rFonts w:ascii="Arial Narrow" w:eastAsia="Arial Narrow" w:hAnsi="Arial Narrow" w:cs="Arial Narrow"/>
          <w:sz w:val="24"/>
          <w:szCs w:val="24"/>
        </w:rPr>
      </w:pPr>
    </w:p>
    <w:p w14:paraId="74AF73BB" w14:textId="77777777" w:rsidR="000E2DFA" w:rsidRDefault="000E2DFA">
      <w:pPr>
        <w:pBdr>
          <w:top w:val="nil"/>
          <w:left w:val="nil"/>
          <w:bottom w:val="nil"/>
          <w:right w:val="nil"/>
          <w:between w:val="nil"/>
        </w:pBdr>
        <w:spacing w:line="240" w:lineRule="auto"/>
        <w:rPr>
          <w:rFonts w:ascii="Arial Narrow" w:eastAsia="Arial Narrow" w:hAnsi="Arial Narrow" w:cs="Arial Narrow"/>
          <w:color w:val="000000"/>
          <w:sz w:val="24"/>
          <w:szCs w:val="24"/>
          <w:highlight w:val="yellow"/>
        </w:rPr>
      </w:pPr>
    </w:p>
    <w:p w14:paraId="09F7BDEE" w14:textId="77777777" w:rsidR="000E2DFA" w:rsidRDefault="000E2DF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003E03A5" w14:textId="77777777" w:rsidR="000E2DFA" w:rsidRDefault="000E2DF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661E7C8C" w14:textId="77777777" w:rsidR="000E2DFA" w:rsidRDefault="000E2DF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3A9CFC20" w14:textId="77777777" w:rsidR="000E2DFA" w:rsidRPr="001835CF" w:rsidRDefault="000E2DF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38123C1"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C456B91"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E3C8C52" w14:textId="77777777" w:rsidR="00212D7F" w:rsidRPr="001835CF" w:rsidRDefault="00212D7F" w:rsidP="00212D7F">
      <w:pPr>
        <w:pBdr>
          <w:top w:val="nil"/>
          <w:left w:val="nil"/>
          <w:bottom w:val="nil"/>
          <w:right w:val="nil"/>
          <w:between w:val="nil"/>
        </w:pBdr>
        <w:jc w:val="center"/>
        <w:rPr>
          <w:rFonts w:ascii="Arial Narrow" w:eastAsia="Arial" w:hAnsi="Arial Narrow" w:cs="Arial"/>
          <w:b/>
          <w:sz w:val="24"/>
          <w:szCs w:val="24"/>
        </w:rPr>
      </w:pPr>
      <w:r w:rsidRPr="001835CF">
        <w:rPr>
          <w:rFonts w:ascii="Arial Narrow" w:eastAsia="Arial" w:hAnsi="Arial Narrow" w:cs="Arial"/>
          <w:b/>
          <w:sz w:val="24"/>
          <w:szCs w:val="24"/>
        </w:rPr>
        <w:t>INFORME DE PONENCIA PARA PRIMER DEBATE</w:t>
      </w:r>
    </w:p>
    <w:p w14:paraId="43DFD5F8" w14:textId="77777777" w:rsidR="00212D7F" w:rsidRPr="001835CF" w:rsidRDefault="00212D7F" w:rsidP="00212D7F">
      <w:pPr>
        <w:pBdr>
          <w:top w:val="nil"/>
          <w:left w:val="nil"/>
          <w:bottom w:val="nil"/>
          <w:right w:val="nil"/>
          <w:between w:val="nil"/>
        </w:pBdr>
        <w:jc w:val="center"/>
        <w:rPr>
          <w:rFonts w:ascii="Arial Narrow" w:eastAsia="Arial" w:hAnsi="Arial Narrow" w:cs="Arial"/>
          <w:b/>
          <w:color w:val="000000"/>
          <w:sz w:val="24"/>
          <w:szCs w:val="24"/>
        </w:rPr>
      </w:pPr>
      <w:r w:rsidRPr="001835CF">
        <w:rPr>
          <w:rFonts w:ascii="Arial Narrow" w:eastAsia="Arial" w:hAnsi="Arial Narrow" w:cs="Arial"/>
          <w:b/>
          <w:color w:val="000000"/>
          <w:sz w:val="24"/>
          <w:szCs w:val="24"/>
        </w:rPr>
        <w:t xml:space="preserve">PROYECTO DE LEY N° </w:t>
      </w:r>
      <w:r w:rsidR="00BA6733" w:rsidRPr="001835CF">
        <w:rPr>
          <w:rFonts w:ascii="Arial Narrow" w:eastAsia="Arial" w:hAnsi="Arial Narrow" w:cs="Arial"/>
          <w:b/>
          <w:color w:val="000000"/>
          <w:sz w:val="24"/>
          <w:szCs w:val="24"/>
        </w:rPr>
        <w:t xml:space="preserve">248 </w:t>
      </w:r>
      <w:r w:rsidRPr="001835CF">
        <w:rPr>
          <w:rFonts w:ascii="Arial Narrow" w:eastAsia="Arial" w:hAnsi="Arial Narrow" w:cs="Arial"/>
          <w:b/>
          <w:color w:val="000000"/>
          <w:sz w:val="24"/>
          <w:szCs w:val="24"/>
        </w:rPr>
        <w:t>DE 2024 CÁMARA</w:t>
      </w:r>
    </w:p>
    <w:p w14:paraId="7D205D10" w14:textId="77777777" w:rsidR="00212D7F" w:rsidRPr="001835CF" w:rsidRDefault="00212D7F" w:rsidP="00212D7F">
      <w:pPr>
        <w:pBdr>
          <w:top w:val="nil"/>
          <w:left w:val="nil"/>
          <w:bottom w:val="nil"/>
          <w:right w:val="nil"/>
          <w:between w:val="nil"/>
        </w:pBdr>
        <w:jc w:val="center"/>
        <w:rPr>
          <w:rFonts w:ascii="Arial Narrow" w:eastAsia="Arial" w:hAnsi="Arial Narrow" w:cs="Arial"/>
          <w:color w:val="000000"/>
          <w:sz w:val="24"/>
          <w:szCs w:val="24"/>
        </w:rPr>
      </w:pPr>
    </w:p>
    <w:p w14:paraId="5D9F2413" w14:textId="77777777" w:rsidR="00212D7F" w:rsidRPr="001835CF" w:rsidRDefault="00212D7F" w:rsidP="00212D7F">
      <w:pPr>
        <w:jc w:val="center"/>
        <w:rPr>
          <w:rFonts w:ascii="Arial Narrow" w:eastAsia="Arial" w:hAnsi="Arial Narrow" w:cs="Arial"/>
          <w:i/>
          <w:sz w:val="24"/>
          <w:szCs w:val="24"/>
        </w:rPr>
      </w:pPr>
      <w:r w:rsidRPr="001835CF">
        <w:rPr>
          <w:rFonts w:ascii="Arial Narrow" w:eastAsia="Arial" w:hAnsi="Arial Narrow" w:cs="Arial"/>
          <w:i/>
          <w:sz w:val="24"/>
          <w:szCs w:val="24"/>
        </w:rPr>
        <w:t xml:space="preserve">“Por medio del cual se modifica el artículo 48 de la Constitución Política y se reconoce la mesada catorce para los y las </w:t>
      </w:r>
      <w:r w:rsidRPr="001835CF">
        <w:rPr>
          <w:rFonts w:ascii="Arial Narrow" w:eastAsia="Arial" w:hAnsi="Arial Narrow" w:cs="Arial"/>
          <w:i/>
          <w:sz w:val="24"/>
          <w:szCs w:val="24"/>
          <w:highlight w:val="white"/>
        </w:rPr>
        <w:t>docentes nacionales</w:t>
      </w:r>
      <w:r w:rsidRPr="001835CF">
        <w:rPr>
          <w:rFonts w:ascii="Arial Narrow" w:eastAsia="Arial" w:hAnsi="Arial Narrow" w:cs="Arial"/>
          <w:i/>
          <w:sz w:val="24"/>
          <w:szCs w:val="24"/>
        </w:rPr>
        <w:t>, nacionalizados y territoriales”</w:t>
      </w:r>
    </w:p>
    <w:p w14:paraId="3D37D115"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215CE6DA"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410F2F8" w14:textId="77777777" w:rsidR="00212D7F" w:rsidRPr="001835CF" w:rsidRDefault="00212D7F" w:rsidP="00212D7F">
      <w:pPr>
        <w:jc w:val="both"/>
        <w:rPr>
          <w:rFonts w:ascii="Arial Narrow" w:eastAsia="Arial" w:hAnsi="Arial Narrow" w:cs="Arial"/>
          <w:b/>
          <w:sz w:val="24"/>
          <w:szCs w:val="24"/>
        </w:rPr>
      </w:pPr>
      <w:r w:rsidRPr="001835CF">
        <w:rPr>
          <w:rFonts w:ascii="Arial Narrow" w:eastAsia="Arial" w:hAnsi="Arial Narrow" w:cs="Arial"/>
          <w:b/>
          <w:sz w:val="24"/>
          <w:szCs w:val="24"/>
        </w:rPr>
        <w:t xml:space="preserve">CONTENIDO </w:t>
      </w:r>
    </w:p>
    <w:p w14:paraId="1945C94C"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Objeto del Proyecto</w:t>
      </w:r>
    </w:p>
    <w:p w14:paraId="25481ABD"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Contenido del proyecto</w:t>
      </w:r>
    </w:p>
    <w:p w14:paraId="5A368BFE" w14:textId="77777777" w:rsidR="006D6E5E" w:rsidRPr="001835CF" w:rsidRDefault="006D6E5E" w:rsidP="00BA6733">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Tramite y antecedentes de la iniciativa</w:t>
      </w:r>
    </w:p>
    <w:p w14:paraId="79A5661D"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Marco Jurídico</w:t>
      </w:r>
    </w:p>
    <w:p w14:paraId="594B5461"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Constitucional</w:t>
      </w:r>
    </w:p>
    <w:p w14:paraId="39F0F22B"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Legal</w:t>
      </w:r>
    </w:p>
    <w:p w14:paraId="6B8728CB"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Justificación y contexto general</w:t>
      </w:r>
    </w:p>
    <w:p w14:paraId="3B34F765"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Contexto de Cannabis no Regulado en Colombia</w:t>
      </w:r>
    </w:p>
    <w:p w14:paraId="7A03BD12"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Contexto internacional</w:t>
      </w:r>
    </w:p>
    <w:p w14:paraId="7C796481" w14:textId="77777777" w:rsidR="006D6E5E" w:rsidRPr="001835CF" w:rsidRDefault="006D6E5E" w:rsidP="0086045B">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Impacto económico</w:t>
      </w:r>
    </w:p>
    <w:p w14:paraId="5811AA90"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Pliego de modificaciones</w:t>
      </w:r>
    </w:p>
    <w:p w14:paraId="38C94056"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Conflicto de intereses</w:t>
      </w:r>
    </w:p>
    <w:p w14:paraId="1BB5FDE8"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Impacto Fiscal</w:t>
      </w:r>
    </w:p>
    <w:p w14:paraId="2FDA7EE1"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Proposición</w:t>
      </w:r>
    </w:p>
    <w:p w14:paraId="6C425028" w14:textId="77777777" w:rsidR="006D6E5E" w:rsidRPr="001835CF" w:rsidRDefault="006D6E5E" w:rsidP="0086045B">
      <w:pPr>
        <w:pStyle w:val="Prrafodelista"/>
        <w:widowControl w:val="0"/>
        <w:numPr>
          <w:ilvl w:val="0"/>
          <w:numId w:val="11"/>
        </w:numPr>
        <w:pBdr>
          <w:top w:val="nil"/>
          <w:left w:val="nil"/>
          <w:bottom w:val="nil"/>
          <w:right w:val="nil"/>
          <w:between w:val="nil"/>
        </w:pBdr>
        <w:tabs>
          <w:tab w:val="left" w:pos="2441"/>
          <w:tab w:val="left" w:pos="2442"/>
        </w:tabs>
        <w:autoSpaceDE w:val="0"/>
        <w:autoSpaceDN w:val="0"/>
        <w:spacing w:after="0" w:line="240" w:lineRule="auto"/>
        <w:jc w:val="both"/>
        <w:rPr>
          <w:rFonts w:ascii="Arial Narrow" w:eastAsia="Arial" w:hAnsi="Arial Narrow" w:cs="Arial"/>
          <w:color w:val="000000"/>
          <w:sz w:val="24"/>
          <w:szCs w:val="24"/>
        </w:rPr>
      </w:pPr>
      <w:r w:rsidRPr="001835CF">
        <w:rPr>
          <w:rFonts w:ascii="Arial Narrow" w:hAnsi="Arial Narrow" w:cs="Arial"/>
          <w:sz w:val="24"/>
          <w:szCs w:val="24"/>
          <w:lang w:val="es-MX"/>
        </w:rPr>
        <w:t>Texto Propuesto para primer debate</w:t>
      </w:r>
    </w:p>
    <w:p w14:paraId="470A073E" w14:textId="77777777" w:rsidR="00212D7F" w:rsidRPr="001835CF" w:rsidRDefault="00212D7F" w:rsidP="00212D7F">
      <w:pPr>
        <w:jc w:val="both"/>
        <w:rPr>
          <w:rFonts w:ascii="Arial Narrow" w:eastAsia="Arial" w:hAnsi="Arial Narrow" w:cs="Arial"/>
          <w:sz w:val="24"/>
          <w:szCs w:val="24"/>
        </w:rPr>
      </w:pPr>
    </w:p>
    <w:p w14:paraId="66C4A0F9" w14:textId="77777777" w:rsidR="00212D7F" w:rsidRPr="001835CF" w:rsidRDefault="00212D7F" w:rsidP="00212D7F">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20606D4A"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2E4D7AE3"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6D70297C"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2F45DC8"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3BE6C23"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6B477A8B"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03512C5"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F1DD52C"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687EF5F"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17F6E90E"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65773E2"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14058EFA"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44AD99F"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68B8992" w14:textId="77777777" w:rsidR="006D6E5E" w:rsidRPr="001835CF" w:rsidRDefault="006D6E5E" w:rsidP="006D6E5E">
      <w:pPr>
        <w:pStyle w:val="Prrafodelista"/>
        <w:widowControl w:val="0"/>
        <w:numPr>
          <w:ilvl w:val="0"/>
          <w:numId w:val="13"/>
        </w:numPr>
        <w:tabs>
          <w:tab w:val="left" w:pos="2441"/>
          <w:tab w:val="left" w:pos="2442"/>
        </w:tabs>
        <w:autoSpaceDE w:val="0"/>
        <w:autoSpaceDN w:val="0"/>
        <w:spacing w:after="240" w:line="270" w:lineRule="exact"/>
        <w:ind w:left="851"/>
        <w:rPr>
          <w:rFonts w:ascii="Arial Narrow" w:hAnsi="Arial Narrow"/>
          <w:b/>
          <w:sz w:val="24"/>
          <w:szCs w:val="24"/>
          <w:lang w:val="es-MX"/>
        </w:rPr>
      </w:pPr>
      <w:r w:rsidRPr="001835CF">
        <w:rPr>
          <w:rFonts w:ascii="Arial Narrow" w:hAnsi="Arial Narrow"/>
          <w:b/>
          <w:bCs/>
          <w:sz w:val="24"/>
          <w:szCs w:val="24"/>
          <w:lang w:val="es-MX"/>
        </w:rPr>
        <w:t>OBJETO DEL PROYECTO</w:t>
      </w:r>
    </w:p>
    <w:p w14:paraId="22297398" w14:textId="77777777" w:rsidR="006D6E5E" w:rsidRPr="001835CF" w:rsidRDefault="006D6E5E" w:rsidP="00A825E8">
      <w:pPr>
        <w:widowControl w:val="0"/>
        <w:tabs>
          <w:tab w:val="left" w:pos="2441"/>
          <w:tab w:val="left" w:pos="2442"/>
        </w:tabs>
        <w:autoSpaceDE w:val="0"/>
        <w:autoSpaceDN w:val="0"/>
        <w:spacing w:after="240" w:line="240" w:lineRule="auto"/>
        <w:jc w:val="both"/>
        <w:rPr>
          <w:rFonts w:ascii="Arial Narrow" w:hAnsi="Arial Narrow"/>
          <w:sz w:val="24"/>
          <w:szCs w:val="24"/>
          <w:lang w:val="es-MX"/>
        </w:rPr>
      </w:pPr>
      <w:r w:rsidRPr="001835CF">
        <w:rPr>
          <w:rFonts w:ascii="Arial Narrow" w:eastAsia="Arial Narrow" w:hAnsi="Arial Narrow" w:cs="Arial Narrow"/>
          <w:color w:val="000000" w:themeColor="text1"/>
          <w:sz w:val="24"/>
          <w:szCs w:val="24"/>
          <w:lang w:val="es-MX"/>
        </w:rPr>
        <w:t xml:space="preserve">El objeto del presente Proyecto de Ley es la creación de un marco regulatorio para el desarrollo de la cadena productiva y el acceso a la planta de cannabis para uso adulto. Del mismo modo, establece las disposiciones para proteger a la población de los potenciales riesgos asociados al consumo del cannabis y sus productos, estableciendo como prioridad la protección de los niños, niñas, y adolescentes (NNA). Así mismo, se dictarán medidas para la inserción al mercado de pequeños productores especialmente de quienes sean caracterizados como cultivadores preexistentes indígenas y campesinos de territorios victimizados por la violencia. Así mismo, incluye </w:t>
      </w:r>
      <w:r w:rsidRPr="001835CF">
        <w:rPr>
          <w:rFonts w:ascii="Arial Narrow" w:hAnsi="Arial Narrow"/>
          <w:sz w:val="24"/>
          <w:szCs w:val="24"/>
          <w:lang w:val="es-MX"/>
        </w:rPr>
        <w:t xml:space="preserve"> políticas de cuidado, salud pública, derechos humanos y bienestar como componente esencial para la protección del usuario.</w:t>
      </w:r>
    </w:p>
    <w:p w14:paraId="2B44419F" w14:textId="77777777" w:rsidR="00A825E8" w:rsidRPr="001835CF" w:rsidRDefault="00A825E8" w:rsidP="00A825E8">
      <w:pPr>
        <w:pStyle w:val="Prrafodelista"/>
        <w:widowControl w:val="0"/>
        <w:numPr>
          <w:ilvl w:val="0"/>
          <w:numId w:val="13"/>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CONTENIDO DEL PROYECTO</w:t>
      </w:r>
    </w:p>
    <w:p w14:paraId="74963B76" w14:textId="77777777" w:rsidR="000B4A96" w:rsidRPr="001835CF" w:rsidRDefault="00A825E8" w:rsidP="00730BAC">
      <w:pPr>
        <w:pBdr>
          <w:top w:val="nil"/>
          <w:left w:val="nil"/>
          <w:bottom w:val="nil"/>
          <w:right w:val="nil"/>
          <w:between w:val="nil"/>
        </w:pBd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themeColor="text1"/>
          <w:sz w:val="24"/>
          <w:szCs w:val="24"/>
          <w:lang w:val="es-MX"/>
        </w:rPr>
        <w:t>CAPÍTULO I OBJETO, ENFOQUES Y DEFINICIONES</w:t>
      </w:r>
      <w:r w:rsidR="00730BAC" w:rsidRPr="001835CF">
        <w:rPr>
          <w:rFonts w:ascii="Arial Narrow" w:eastAsia="Arial Narrow" w:hAnsi="Arial Narrow" w:cs="Arial Narrow"/>
          <w:b/>
          <w:color w:val="000000" w:themeColor="text1"/>
          <w:sz w:val="24"/>
          <w:szCs w:val="24"/>
          <w:lang w:val="es-MX"/>
        </w:rPr>
        <w:t xml:space="preserve">. </w:t>
      </w:r>
      <w:r w:rsidR="000B4A96" w:rsidRPr="001835CF">
        <w:rPr>
          <w:rFonts w:ascii="Arial Narrow" w:eastAsia="Arial Narrow" w:hAnsi="Arial Narrow" w:cs="Arial Narrow"/>
          <w:color w:val="000000" w:themeColor="text1"/>
          <w:sz w:val="24"/>
          <w:szCs w:val="24"/>
          <w:lang w:val="es-MX"/>
        </w:rPr>
        <w:t>Artículo 1 a Artículo 4</w:t>
      </w:r>
      <w:r w:rsidR="00730BAC" w:rsidRPr="001835CF">
        <w:rPr>
          <w:rFonts w:ascii="Arial Narrow" w:eastAsia="Arial Narrow" w:hAnsi="Arial Narrow" w:cs="Arial Narrow"/>
          <w:color w:val="000000" w:themeColor="text1"/>
          <w:sz w:val="24"/>
          <w:szCs w:val="24"/>
          <w:lang w:val="es-MX"/>
        </w:rPr>
        <w:t>.</w:t>
      </w:r>
    </w:p>
    <w:p w14:paraId="427421BE" w14:textId="77777777" w:rsidR="000C6256" w:rsidRPr="001835CF" w:rsidRDefault="00A825E8" w:rsidP="00730BAC">
      <w:pPr>
        <w:pBdr>
          <w:top w:val="nil"/>
          <w:left w:val="nil"/>
          <w:bottom w:val="nil"/>
          <w:right w:val="nil"/>
          <w:between w:val="nil"/>
        </w:pBd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sz w:val="24"/>
          <w:szCs w:val="24"/>
        </w:rPr>
        <w:t>CAPÍTULO</w:t>
      </w:r>
      <w:r w:rsidRPr="001835CF">
        <w:rPr>
          <w:rFonts w:ascii="Arial Narrow" w:eastAsia="Arial Narrow" w:hAnsi="Arial Narrow" w:cs="Arial Narrow"/>
          <w:b/>
          <w:color w:val="000000"/>
          <w:sz w:val="24"/>
          <w:szCs w:val="24"/>
        </w:rPr>
        <w:t xml:space="preserve"> II CULTIVO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5 a Artículo 10</w:t>
      </w:r>
      <w:r w:rsidR="00730BAC" w:rsidRPr="001835CF">
        <w:rPr>
          <w:rFonts w:ascii="Arial Narrow" w:eastAsia="Arial Narrow" w:hAnsi="Arial Narrow" w:cs="Arial Narrow"/>
          <w:color w:val="000000" w:themeColor="text1"/>
          <w:sz w:val="24"/>
          <w:szCs w:val="24"/>
          <w:lang w:val="es-MX"/>
        </w:rPr>
        <w:t>.</w:t>
      </w:r>
    </w:p>
    <w:p w14:paraId="7C3F43DF"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sz w:val="24"/>
          <w:szCs w:val="24"/>
        </w:rPr>
        <w:t>CAPÍTULO III TRANSPORTE</w:t>
      </w:r>
      <w:r w:rsidR="00730BAC" w:rsidRPr="001835CF">
        <w:rPr>
          <w:rFonts w:ascii="Arial Narrow" w:eastAsia="Arial Narrow" w:hAnsi="Arial Narrow" w:cs="Arial Narrow"/>
          <w:b/>
          <w:sz w:val="24"/>
          <w:szCs w:val="24"/>
        </w:rPr>
        <w:t xml:space="preserve">. </w:t>
      </w:r>
      <w:r w:rsidR="000C6256" w:rsidRPr="001835CF">
        <w:rPr>
          <w:rFonts w:ascii="Arial Narrow" w:eastAsia="Arial Narrow" w:hAnsi="Arial Narrow" w:cs="Arial Narrow"/>
          <w:color w:val="000000" w:themeColor="text1"/>
          <w:sz w:val="24"/>
          <w:szCs w:val="24"/>
          <w:lang w:val="es-MX"/>
        </w:rPr>
        <w:t>Artículo 11 a Artículo 17</w:t>
      </w:r>
      <w:r w:rsidR="00730BAC" w:rsidRPr="001835CF">
        <w:rPr>
          <w:rFonts w:ascii="Arial Narrow" w:eastAsia="Arial Narrow" w:hAnsi="Arial Narrow" w:cs="Arial Narrow"/>
          <w:color w:val="000000" w:themeColor="text1"/>
          <w:sz w:val="24"/>
          <w:szCs w:val="24"/>
          <w:lang w:val="es-MX"/>
        </w:rPr>
        <w:t>.</w:t>
      </w:r>
    </w:p>
    <w:p w14:paraId="221BB7A7"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sz w:val="24"/>
          <w:szCs w:val="24"/>
        </w:rPr>
        <w:t>CAPÍTULO IV PROCESAMIENTO Y EXTRACCIÓN DE DERIVADOS</w:t>
      </w:r>
      <w:r w:rsidR="00730BAC" w:rsidRPr="001835CF">
        <w:rPr>
          <w:rFonts w:ascii="Arial Narrow" w:eastAsia="Arial Narrow" w:hAnsi="Arial Narrow" w:cs="Arial Narrow"/>
          <w:b/>
          <w:sz w:val="24"/>
          <w:szCs w:val="24"/>
        </w:rPr>
        <w:t xml:space="preserve">. </w:t>
      </w:r>
      <w:r w:rsidR="000C6256" w:rsidRPr="001835CF">
        <w:rPr>
          <w:rFonts w:ascii="Arial Narrow" w:eastAsia="Arial Narrow" w:hAnsi="Arial Narrow" w:cs="Arial Narrow"/>
          <w:color w:val="000000" w:themeColor="text1"/>
          <w:sz w:val="24"/>
          <w:szCs w:val="24"/>
          <w:lang w:val="es-MX"/>
        </w:rPr>
        <w:t>Artículo 18 a Artículo 19</w:t>
      </w:r>
      <w:r w:rsidR="00730BAC" w:rsidRPr="001835CF">
        <w:rPr>
          <w:rFonts w:ascii="Arial Narrow" w:eastAsia="Arial Narrow" w:hAnsi="Arial Narrow" w:cs="Arial Narrow"/>
          <w:color w:val="000000" w:themeColor="text1"/>
          <w:sz w:val="24"/>
          <w:szCs w:val="24"/>
          <w:lang w:val="es-MX"/>
        </w:rPr>
        <w:t xml:space="preserve">. </w:t>
      </w:r>
      <w:r w:rsidRPr="001835CF">
        <w:rPr>
          <w:rFonts w:ascii="Arial Narrow" w:eastAsia="Arial Narrow" w:hAnsi="Arial Narrow" w:cs="Arial Narrow"/>
          <w:b/>
          <w:sz w:val="24"/>
          <w:szCs w:val="24"/>
        </w:rPr>
        <w:t>CAPÍTULO V EMPAQUETADO Y ETIQUETADO</w:t>
      </w:r>
      <w:r w:rsidR="00730BAC" w:rsidRPr="001835CF">
        <w:rPr>
          <w:rFonts w:ascii="Arial Narrow" w:eastAsia="Arial Narrow" w:hAnsi="Arial Narrow" w:cs="Arial Narrow"/>
          <w:b/>
          <w:sz w:val="24"/>
          <w:szCs w:val="24"/>
        </w:rPr>
        <w:t xml:space="preserve">. </w:t>
      </w:r>
      <w:r w:rsidR="000C6256" w:rsidRPr="001835CF">
        <w:rPr>
          <w:rFonts w:ascii="Arial Narrow" w:eastAsia="Arial Narrow" w:hAnsi="Arial Narrow" w:cs="Arial Narrow"/>
          <w:color w:val="000000" w:themeColor="text1"/>
          <w:sz w:val="24"/>
          <w:szCs w:val="24"/>
          <w:lang w:val="es-MX"/>
        </w:rPr>
        <w:t>Artículo 20 a Artículo 25</w:t>
      </w:r>
      <w:r w:rsidR="00730BAC" w:rsidRPr="001835CF">
        <w:rPr>
          <w:rFonts w:ascii="Arial Narrow" w:eastAsia="Arial Narrow" w:hAnsi="Arial Narrow" w:cs="Arial Narrow"/>
          <w:color w:val="000000" w:themeColor="text1"/>
          <w:sz w:val="24"/>
          <w:szCs w:val="24"/>
          <w:lang w:val="es-MX"/>
        </w:rPr>
        <w:t>.</w:t>
      </w:r>
    </w:p>
    <w:p w14:paraId="1C613C0A"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VI CANALES DE DISTRIBUCIÓN</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26 a Artículo 32</w:t>
      </w:r>
      <w:r w:rsidR="00730BAC" w:rsidRPr="001835CF">
        <w:rPr>
          <w:rFonts w:ascii="Arial Narrow" w:eastAsia="Arial Narrow" w:hAnsi="Arial Narrow" w:cs="Arial Narrow"/>
          <w:color w:val="000000" w:themeColor="text1"/>
          <w:sz w:val="24"/>
          <w:szCs w:val="24"/>
          <w:lang w:val="es-MX"/>
        </w:rPr>
        <w:t xml:space="preserve">. </w:t>
      </w:r>
    </w:p>
    <w:p w14:paraId="59491237"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VII PORTE</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33 a Artículo 34</w:t>
      </w:r>
      <w:r w:rsidR="00730BAC" w:rsidRPr="001835CF">
        <w:rPr>
          <w:rFonts w:ascii="Arial Narrow" w:eastAsia="Arial Narrow" w:hAnsi="Arial Narrow" w:cs="Arial Narrow"/>
          <w:color w:val="000000" w:themeColor="text1"/>
          <w:sz w:val="24"/>
          <w:szCs w:val="24"/>
          <w:lang w:val="es-MX"/>
        </w:rPr>
        <w:t>.</w:t>
      </w:r>
    </w:p>
    <w:p w14:paraId="634CA5DD"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VIII LICENCIAS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35 a Artículo 39</w:t>
      </w:r>
      <w:r w:rsidR="00730BAC" w:rsidRPr="001835CF">
        <w:rPr>
          <w:rFonts w:ascii="Arial Narrow" w:eastAsia="Arial Narrow" w:hAnsi="Arial Narrow" w:cs="Arial Narrow"/>
          <w:color w:val="000000" w:themeColor="text1"/>
          <w:sz w:val="24"/>
          <w:szCs w:val="24"/>
          <w:lang w:val="es-MX"/>
        </w:rPr>
        <w:t xml:space="preserve">. </w:t>
      </w:r>
    </w:p>
    <w:p w14:paraId="0E83FFFB"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IX PROHIBICIONES Y RESTRICCIONES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40 a Artículo 47</w:t>
      </w:r>
      <w:r w:rsidR="00730BAC" w:rsidRPr="001835CF">
        <w:rPr>
          <w:rFonts w:ascii="Arial Narrow" w:eastAsia="Arial Narrow" w:hAnsi="Arial Narrow" w:cs="Arial Narrow"/>
          <w:color w:val="000000" w:themeColor="text1"/>
          <w:sz w:val="24"/>
          <w:szCs w:val="24"/>
          <w:lang w:val="es-MX"/>
        </w:rPr>
        <w:t>.</w:t>
      </w:r>
    </w:p>
    <w:p w14:paraId="78FFFAD9" w14:textId="667E546A"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 SALUD PÚBLICA Y POLÍTICAS DE CUIDADO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 xml:space="preserve">Artículo 48 a Artículo </w:t>
      </w:r>
      <w:r w:rsidR="001E136B" w:rsidRPr="001835CF">
        <w:rPr>
          <w:rFonts w:ascii="Arial Narrow" w:eastAsia="Arial Narrow" w:hAnsi="Arial Narrow" w:cs="Arial Narrow"/>
          <w:color w:val="000000" w:themeColor="text1"/>
          <w:sz w:val="24"/>
          <w:szCs w:val="24"/>
          <w:lang w:val="es-MX"/>
        </w:rPr>
        <w:t>52</w:t>
      </w:r>
      <w:r w:rsidR="00730BAC" w:rsidRPr="001835CF">
        <w:rPr>
          <w:rFonts w:ascii="Arial Narrow" w:eastAsia="Arial Narrow" w:hAnsi="Arial Narrow" w:cs="Arial Narrow"/>
          <w:color w:val="000000" w:themeColor="text1"/>
          <w:sz w:val="24"/>
          <w:szCs w:val="24"/>
          <w:lang w:val="es-MX"/>
        </w:rPr>
        <w:t>.</w:t>
      </w:r>
    </w:p>
    <w:p w14:paraId="0F475FA8" w14:textId="0F703FE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 POLÍTICAS DE EQUIDAD SOCIAL</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5</w:t>
      </w:r>
      <w:r w:rsidR="001E136B" w:rsidRPr="001835CF">
        <w:rPr>
          <w:rFonts w:ascii="Arial Narrow" w:eastAsia="Arial Narrow" w:hAnsi="Arial Narrow" w:cs="Arial Narrow"/>
          <w:color w:val="000000" w:themeColor="text1"/>
          <w:sz w:val="24"/>
          <w:szCs w:val="24"/>
          <w:lang w:val="es-MX"/>
        </w:rPr>
        <w:t>3</w:t>
      </w:r>
      <w:r w:rsidR="000C6256" w:rsidRPr="001835CF">
        <w:rPr>
          <w:rFonts w:ascii="Arial Narrow" w:eastAsia="Arial Narrow" w:hAnsi="Arial Narrow" w:cs="Arial Narrow"/>
          <w:color w:val="000000" w:themeColor="text1"/>
          <w:sz w:val="24"/>
          <w:szCs w:val="24"/>
          <w:lang w:val="es-MX"/>
        </w:rPr>
        <w:t xml:space="preserve"> a Artículo 58</w:t>
      </w:r>
      <w:r w:rsidR="00730BAC" w:rsidRPr="001835CF">
        <w:rPr>
          <w:rFonts w:ascii="Arial Narrow" w:eastAsia="Arial Narrow" w:hAnsi="Arial Narrow" w:cs="Arial Narrow"/>
          <w:color w:val="000000" w:themeColor="text1"/>
          <w:sz w:val="24"/>
          <w:szCs w:val="24"/>
          <w:lang w:val="es-MX"/>
        </w:rPr>
        <w:t>.</w:t>
      </w:r>
    </w:p>
    <w:p w14:paraId="402D5738"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XII INVESTIGACIÓN Y DESARROLLO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59 a Artículo 63</w:t>
      </w:r>
      <w:r w:rsidR="00730BAC" w:rsidRPr="001835CF">
        <w:rPr>
          <w:rFonts w:ascii="Arial Narrow" w:eastAsia="Arial Narrow" w:hAnsi="Arial Narrow" w:cs="Arial Narrow"/>
          <w:color w:val="000000" w:themeColor="text1"/>
          <w:sz w:val="24"/>
          <w:szCs w:val="24"/>
          <w:lang w:val="es-MX"/>
        </w:rPr>
        <w:t>.</w:t>
      </w:r>
    </w:p>
    <w:p w14:paraId="2677D91C"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XIII ESQUEMA IMPOSITIVO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64</w:t>
      </w:r>
      <w:r w:rsidR="00730BAC" w:rsidRPr="001835CF">
        <w:rPr>
          <w:rFonts w:ascii="Arial Narrow" w:eastAsia="Arial Narrow" w:hAnsi="Arial Narrow" w:cs="Arial Narrow"/>
          <w:color w:val="000000" w:themeColor="text1"/>
          <w:sz w:val="24"/>
          <w:szCs w:val="24"/>
          <w:lang w:val="es-MX"/>
        </w:rPr>
        <w:t>.</w:t>
      </w:r>
    </w:p>
    <w:p w14:paraId="5ED0D1E0"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XIV DESPENALIZACIÓN, ANTECEDENTES Y MEDIDAS CORRECTIVAS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65 a Artículo 70</w:t>
      </w:r>
      <w:r w:rsidR="00730BAC" w:rsidRPr="001835CF">
        <w:rPr>
          <w:rFonts w:ascii="Arial Narrow" w:eastAsia="Arial Narrow" w:hAnsi="Arial Narrow" w:cs="Arial Narrow"/>
          <w:color w:val="000000" w:themeColor="text1"/>
          <w:sz w:val="24"/>
          <w:szCs w:val="24"/>
          <w:lang w:val="es-MX"/>
        </w:rPr>
        <w:t>.</w:t>
      </w:r>
    </w:p>
    <w:p w14:paraId="0C105BE4"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XV DISPOSICIONES FINALES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71 a Artículo 73</w:t>
      </w:r>
      <w:r w:rsidR="00730BAC" w:rsidRPr="001835CF">
        <w:rPr>
          <w:rFonts w:ascii="Arial Narrow" w:eastAsia="Arial Narrow" w:hAnsi="Arial Narrow" w:cs="Arial Narrow"/>
          <w:color w:val="000000" w:themeColor="text1"/>
          <w:sz w:val="24"/>
          <w:szCs w:val="24"/>
          <w:lang w:val="es-MX"/>
        </w:rPr>
        <w:t>.</w:t>
      </w:r>
    </w:p>
    <w:p w14:paraId="6AA1E150" w14:textId="77777777" w:rsidR="00713512" w:rsidRPr="001835CF" w:rsidRDefault="00713512" w:rsidP="000C6256">
      <w:pPr>
        <w:pBdr>
          <w:top w:val="nil"/>
          <w:left w:val="nil"/>
          <w:bottom w:val="nil"/>
          <w:right w:val="nil"/>
          <w:between w:val="nil"/>
        </w:pBdr>
        <w:spacing w:line="276" w:lineRule="auto"/>
        <w:rPr>
          <w:rFonts w:ascii="Arial Narrow" w:eastAsia="Arial Narrow" w:hAnsi="Arial Narrow" w:cs="Arial Narrow"/>
          <w:color w:val="000000" w:themeColor="text1"/>
          <w:sz w:val="24"/>
          <w:szCs w:val="24"/>
          <w:lang w:val="es-MX"/>
        </w:rPr>
      </w:pPr>
    </w:p>
    <w:p w14:paraId="5F4DAFB3" w14:textId="77777777" w:rsidR="00713512" w:rsidRPr="001835CF" w:rsidRDefault="00713512" w:rsidP="00730BAC">
      <w:pPr>
        <w:pStyle w:val="Prrafodelista"/>
        <w:widowControl w:val="0"/>
        <w:numPr>
          <w:ilvl w:val="0"/>
          <w:numId w:val="13"/>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TRAMITE Y ANTECEDENTES DE LA INICIATIVA</w:t>
      </w:r>
    </w:p>
    <w:p w14:paraId="425A469C" w14:textId="77777777" w:rsidR="000C6256" w:rsidRPr="001835CF" w:rsidRDefault="00713512" w:rsidP="00713512">
      <w:pPr>
        <w:widowControl w:val="0"/>
        <w:tabs>
          <w:tab w:val="left" w:pos="2441"/>
          <w:tab w:val="left" w:pos="2442"/>
        </w:tabs>
        <w:autoSpaceDE w:val="0"/>
        <w:autoSpaceDN w:val="0"/>
        <w:spacing w:line="270" w:lineRule="exact"/>
        <w:jc w:val="both"/>
        <w:rPr>
          <w:rFonts w:ascii="Arial Narrow" w:hAnsi="Arial Narrow"/>
          <w:sz w:val="24"/>
          <w:szCs w:val="24"/>
          <w:lang w:val="es-MX"/>
        </w:rPr>
      </w:pPr>
      <w:r w:rsidRPr="001835CF">
        <w:rPr>
          <w:rFonts w:ascii="Arial Narrow" w:hAnsi="Arial Narrow"/>
          <w:sz w:val="24"/>
          <w:szCs w:val="24"/>
          <w:lang w:val="es-MX"/>
        </w:rPr>
        <w:t xml:space="preserve">El  Proyecto de ley fue radicado el jueves 28 de agosto de 2024 en la Secretaría General de la Cámara </w:t>
      </w:r>
      <w:r w:rsidR="00BA6733" w:rsidRPr="001835CF">
        <w:rPr>
          <w:rFonts w:ascii="Arial Narrow" w:hAnsi="Arial Narrow"/>
          <w:sz w:val="24"/>
          <w:szCs w:val="24"/>
          <w:lang w:val="es-MX"/>
        </w:rPr>
        <w:t>de Representantes donde se le asignó el número 248 de 2024 Cámara</w:t>
      </w:r>
      <w:r w:rsidRPr="001835CF">
        <w:rPr>
          <w:rFonts w:ascii="Arial Narrow" w:hAnsi="Arial Narrow"/>
          <w:sz w:val="24"/>
          <w:szCs w:val="24"/>
          <w:lang w:val="es-MX"/>
        </w:rPr>
        <w:t xml:space="preserve">, del cual son autores el H.R. Jorge Alejandro Ocampo Giraldo, H.R. Ingrid Johana Aguirre Juvinao, H.R. Etna Tamara Argote Calderón, H.R. Susana Gómez Castaño, H.R. Diógenes Quintero Amaya, H.R. Carlos Adolfo Ardila Espinosa, H.R. Pedro José Súarez Vacca, H.R. Andrés David Calle Aguas, H.R. David Alejandro Toro Ramírez, H.R. Leyla Marleny Rincón Trujillo, H.R. Gabriel Ernesto Parrado Durán, H.R. Jorge Hernán Bastidas Rosero, H.R. Gildardo Silva Molina, H.R. Dorina Hernández Palomino, H.R. Santiago Osorio </w:t>
      </w:r>
      <w:r w:rsidRPr="001835CF">
        <w:rPr>
          <w:rFonts w:ascii="Arial Narrow" w:hAnsi="Arial Narrow"/>
          <w:sz w:val="24"/>
          <w:szCs w:val="24"/>
          <w:lang w:val="es-MX"/>
        </w:rPr>
        <w:lastRenderedPageBreak/>
        <w:t>Marín, H.R. David Ricardo Racero Mayorca, H.R. Cristóbal Caicedo Angulo.</w:t>
      </w:r>
    </w:p>
    <w:p w14:paraId="1C53ADAF" w14:textId="77777777" w:rsidR="00BA6733" w:rsidRPr="001835CF" w:rsidRDefault="00713512" w:rsidP="00713512">
      <w:pPr>
        <w:widowControl w:val="0"/>
        <w:tabs>
          <w:tab w:val="left" w:pos="2441"/>
          <w:tab w:val="left" w:pos="2442"/>
        </w:tabs>
        <w:autoSpaceDE w:val="0"/>
        <w:autoSpaceDN w:val="0"/>
        <w:spacing w:line="270" w:lineRule="exact"/>
        <w:jc w:val="both"/>
        <w:rPr>
          <w:rFonts w:ascii="Arial Narrow" w:hAnsi="Arial Narrow"/>
          <w:sz w:val="24"/>
          <w:szCs w:val="24"/>
          <w:lang w:val="es-MX"/>
        </w:rPr>
      </w:pPr>
      <w:r w:rsidRPr="001835CF">
        <w:rPr>
          <w:rFonts w:ascii="Arial Narrow" w:hAnsi="Arial Narrow"/>
          <w:sz w:val="24"/>
          <w:szCs w:val="24"/>
          <w:lang w:val="es-MX"/>
        </w:rPr>
        <w:t>El Proyecto fue publicado en la Gaceta del Congreso No. El Proyecto fue publicado en la Gaceta del Congreso No. 1350 de 2024. Tras ser remitido a la Comisión Primera Constitucional Permanente de la Cámara de Representantes, allí se</w:t>
      </w:r>
      <w:r w:rsidR="00BA6733" w:rsidRPr="001835CF">
        <w:rPr>
          <w:rFonts w:ascii="Arial Narrow" w:hAnsi="Arial Narrow"/>
          <w:sz w:val="24"/>
          <w:szCs w:val="24"/>
          <w:lang w:val="es-MX"/>
        </w:rPr>
        <w:t xml:space="preserve"> designó como ponente único al H.R. Jorge Alejandro Ocampo Giraldo, </w:t>
      </w:r>
      <w:r w:rsidRPr="001835CF">
        <w:rPr>
          <w:rFonts w:ascii="Arial Narrow" w:hAnsi="Arial Narrow"/>
          <w:sz w:val="24"/>
          <w:szCs w:val="24"/>
          <w:lang w:val="es-MX"/>
        </w:rPr>
        <w:t>mediante oficio No. C.P.C.P.</w:t>
      </w:r>
      <w:r w:rsidR="00BA6733" w:rsidRPr="001835CF">
        <w:rPr>
          <w:rFonts w:ascii="Arial Narrow" w:hAnsi="Arial Narrow"/>
          <w:sz w:val="24"/>
          <w:szCs w:val="24"/>
          <w:lang w:val="es-MX"/>
        </w:rPr>
        <w:t xml:space="preserve"> </w:t>
      </w:r>
      <w:r w:rsidR="00BA6733" w:rsidRPr="001835CF">
        <w:rPr>
          <w:rFonts w:ascii="Arial Narrow" w:hAnsi="Arial Narrow"/>
          <w:sz w:val="24"/>
          <w:szCs w:val="24"/>
        </w:rPr>
        <w:t>3.1– 0316 - 2024</w:t>
      </w:r>
      <w:r w:rsidRPr="001835CF">
        <w:rPr>
          <w:rFonts w:ascii="Arial Narrow" w:hAnsi="Arial Narrow"/>
          <w:sz w:val="24"/>
          <w:szCs w:val="24"/>
          <w:lang w:val="es-MX"/>
        </w:rPr>
        <w:t xml:space="preserve">, con fecha del </w:t>
      </w:r>
      <w:r w:rsidR="00BA6733" w:rsidRPr="001835CF">
        <w:rPr>
          <w:rFonts w:ascii="Arial Narrow" w:hAnsi="Arial Narrow"/>
          <w:sz w:val="24"/>
          <w:szCs w:val="24"/>
          <w:lang w:val="es-MX"/>
        </w:rPr>
        <w:t>19</w:t>
      </w:r>
      <w:r w:rsidRPr="001835CF">
        <w:rPr>
          <w:rFonts w:ascii="Arial Narrow" w:hAnsi="Arial Narrow"/>
          <w:sz w:val="24"/>
          <w:szCs w:val="24"/>
          <w:lang w:val="es-MX"/>
        </w:rPr>
        <w:t xml:space="preserve"> de </w:t>
      </w:r>
      <w:r w:rsidR="00BA6733" w:rsidRPr="001835CF">
        <w:rPr>
          <w:rFonts w:ascii="Arial Narrow" w:hAnsi="Arial Narrow"/>
          <w:sz w:val="24"/>
          <w:szCs w:val="24"/>
          <w:lang w:val="es-MX"/>
        </w:rPr>
        <w:t>septi</w:t>
      </w:r>
      <w:r w:rsidRPr="001835CF">
        <w:rPr>
          <w:rFonts w:ascii="Arial Narrow" w:hAnsi="Arial Narrow"/>
          <w:sz w:val="24"/>
          <w:szCs w:val="24"/>
          <w:lang w:val="es-MX"/>
        </w:rPr>
        <w:t xml:space="preserve">embre de </w:t>
      </w:r>
      <w:r w:rsidR="00BA6733" w:rsidRPr="001835CF">
        <w:rPr>
          <w:rFonts w:ascii="Arial Narrow" w:hAnsi="Arial Narrow"/>
          <w:sz w:val="24"/>
          <w:szCs w:val="24"/>
          <w:lang w:val="es-MX"/>
        </w:rPr>
        <w:t>2024.</w:t>
      </w:r>
    </w:p>
    <w:p w14:paraId="513AD256" w14:textId="77777777" w:rsidR="00212D7F" w:rsidRPr="001835CF" w:rsidRDefault="00212D7F" w:rsidP="00BA6733">
      <w:pPr>
        <w:pBdr>
          <w:top w:val="nil"/>
          <w:left w:val="nil"/>
          <w:bottom w:val="nil"/>
          <w:right w:val="nil"/>
          <w:between w:val="nil"/>
        </w:pBdr>
        <w:spacing w:after="0" w:line="240" w:lineRule="auto"/>
        <w:rPr>
          <w:rFonts w:ascii="Arial Narrow" w:eastAsia="Arial Narrow" w:hAnsi="Arial Narrow" w:cs="Arial Narrow"/>
          <w:color w:val="000000" w:themeColor="text1"/>
          <w:sz w:val="24"/>
          <w:szCs w:val="24"/>
          <w:lang w:val="es-MX"/>
        </w:rPr>
      </w:pPr>
    </w:p>
    <w:p w14:paraId="58A41D2F" w14:textId="77777777" w:rsidR="0086045B" w:rsidRPr="001835CF" w:rsidRDefault="0086045B" w:rsidP="0086045B">
      <w:pPr>
        <w:pStyle w:val="Prrafodelista"/>
        <w:widowControl w:val="0"/>
        <w:numPr>
          <w:ilvl w:val="0"/>
          <w:numId w:val="17"/>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MARCO JURÍDICO</w:t>
      </w:r>
    </w:p>
    <w:p w14:paraId="2B007C27"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Colombia viene ajustando el marco normativo sobre sustancias psicoactivas, atendiendo a las realidades nacionales y los acuerdos multilaterales firmados por el país, específicamente la Convención Única de 1961 sobre Estupefacientes enmendada por el Protocolo de 1972; el Convenio sobre Sustancias Psicotrópicas de 1971 y la Convención de las Naciones Unidas contra el Tráfico Ilícito de Estupefacientes y Sustancias Sicotrópicas de 1988.</w:t>
      </w:r>
    </w:p>
    <w:p w14:paraId="4CA7A31B"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La Convención Única sobre Estupefacientes unificó la legislación y los acuerdos multilaterales sobre fiscalización de drogas establecieron un sistema internacional para limitar el cultivo, producción, distribución, comercio, posesión y uso de sustancias estupefacientes, además se estableció la Junta Internacional de Fiscalización de Estupefacientes (JIFE), que supervisa la aplicación de los tratados de fiscalización internacional de estupefacientes.</w:t>
      </w:r>
    </w:p>
    <w:p w14:paraId="562932D3"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Colombia a través de ley 13 de 1974 aprobó la "Convención Única sobre estupefacientes", y su Protocolo de Modificaciones y creó el marco normativo para cumplir con los acuerdos.</w:t>
      </w:r>
    </w:p>
    <w:p w14:paraId="058FB7B3"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sz w:val="24"/>
          <w:szCs w:val="24"/>
        </w:rPr>
        <w:t>Por otro lado, la convención de las Naciones Unidas contra el Tráfico Ilícito de Estupefacientes y Sustancias Sicotrópicas realizada en Viena en 1988 “</w:t>
      </w:r>
      <w:r w:rsidRPr="001835CF">
        <w:rPr>
          <w:rFonts w:ascii="Arial Narrow" w:eastAsia="Arial Narrow" w:hAnsi="Arial Narrow" w:cs="Arial Narrow"/>
          <w:i/>
          <w:iCs/>
          <w:sz w:val="24"/>
          <w:szCs w:val="24"/>
        </w:rPr>
        <w:t>proporciona medidas integrales contra el tráfico de drogas, incluidas disposiciones contra el lavado de dinero y el desvío de precursores químicos. Prevé la cooperación internacional a través, por ejemplo, de la extradición de narcotraficantes, entregas vigiladas y remisión de actuaciones</w:t>
      </w:r>
      <w:r w:rsidRPr="001835CF">
        <w:rPr>
          <w:rFonts w:ascii="Arial Narrow" w:eastAsia="Arial Narrow" w:hAnsi="Arial Narrow" w:cs="Arial Narrow"/>
          <w:sz w:val="24"/>
          <w:szCs w:val="24"/>
        </w:rPr>
        <w:t>”</w:t>
      </w:r>
      <w:r w:rsidRPr="001835CF">
        <w:rPr>
          <w:rFonts w:ascii="Arial Narrow" w:eastAsia="Arial Narrow" w:hAnsi="Arial Narrow" w:cs="Arial Narrow"/>
          <w:sz w:val="24"/>
          <w:szCs w:val="24"/>
          <w:vertAlign w:val="superscript"/>
        </w:rPr>
        <w:footnoteReference w:id="1"/>
      </w:r>
      <w:r w:rsidRPr="001835CF">
        <w:rPr>
          <w:rFonts w:ascii="Arial Narrow" w:eastAsia="Arial Narrow" w:hAnsi="Arial Narrow" w:cs="Arial Narrow"/>
          <w:sz w:val="24"/>
          <w:szCs w:val="24"/>
        </w:rPr>
        <w:t>.</w:t>
      </w:r>
      <w:r w:rsidRPr="001835CF">
        <w:rPr>
          <w:rFonts w:ascii="Arial Narrow" w:eastAsia="Arial Narrow" w:hAnsi="Arial Narrow" w:cs="Arial Narrow"/>
          <w:color w:val="000000"/>
          <w:sz w:val="24"/>
          <w:szCs w:val="24"/>
        </w:rPr>
        <w:t xml:space="preserve">  </w:t>
      </w:r>
    </w:p>
    <w:p w14:paraId="758708D8"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En enero del 1986 el congreso aprobó la ley 30 por medio de la cual “se adopta el Estatuto Nacional de Estupefacientes y se dictan otras disposiciones”. Esta Ley, reglamentada posteriormente por el Decreto 3788 de 1986, incluyó en su articulado  definiciones relacionadas con dosis personal y estableció sanciones al porte y consumo de Cannabis:</w:t>
      </w:r>
    </w:p>
    <w:p w14:paraId="586B36DC" w14:textId="77777777" w:rsidR="0086045B" w:rsidRPr="001835CF" w:rsidRDefault="0086045B" w:rsidP="0086045B">
      <w:pPr>
        <w:ind w:left="708"/>
        <w:jc w:val="both"/>
        <w:rPr>
          <w:rFonts w:ascii="Arial Narrow" w:eastAsia="Arial Narrow" w:hAnsi="Arial Narrow" w:cs="Arial Narrow"/>
          <w:color w:val="000000"/>
          <w:sz w:val="24"/>
          <w:szCs w:val="24"/>
        </w:rPr>
      </w:pPr>
      <w:r w:rsidRPr="001835CF">
        <w:rPr>
          <w:rFonts w:ascii="Arial Narrow" w:eastAsia="Arial Narrow" w:hAnsi="Arial Narrow" w:cs="Arial Narrow"/>
          <w:b/>
          <w:color w:val="000000"/>
          <w:sz w:val="24"/>
          <w:szCs w:val="24"/>
        </w:rPr>
        <w:t>ARTÍCULO 2</w:t>
      </w:r>
      <w:r w:rsidRPr="001835CF">
        <w:rPr>
          <w:rFonts w:ascii="Arial Narrow" w:eastAsia="Arial Narrow" w:hAnsi="Arial Narrow" w:cs="Arial Narrow"/>
          <w:color w:val="000000"/>
          <w:sz w:val="24"/>
          <w:szCs w:val="24"/>
        </w:rPr>
        <w:t>. Para efectos de la presente Ley se adoptarán las siguientes definiciones:</w:t>
      </w:r>
    </w:p>
    <w:p w14:paraId="24248172"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i/>
          <w:sz w:val="24"/>
          <w:szCs w:val="24"/>
        </w:rPr>
        <w:t>[…]</w:t>
      </w:r>
    </w:p>
    <w:p w14:paraId="2786BEFE"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lastRenderedPageBreak/>
        <w:t xml:space="preserve">j) </w:t>
      </w:r>
      <w:r w:rsidRPr="001835CF">
        <w:rPr>
          <w:rFonts w:ascii="Arial Narrow" w:eastAsia="Arial Narrow" w:hAnsi="Arial Narrow" w:cs="Arial Narrow"/>
          <w:b/>
          <w:i/>
          <w:color w:val="000000"/>
          <w:sz w:val="24"/>
          <w:szCs w:val="24"/>
        </w:rPr>
        <w:t>Dosis para uso personal:</w:t>
      </w:r>
      <w:r w:rsidRPr="001835CF">
        <w:rPr>
          <w:rFonts w:ascii="Arial Narrow" w:eastAsia="Arial Narrow" w:hAnsi="Arial Narrow" w:cs="Arial Narrow"/>
          <w:i/>
          <w:color w:val="000000"/>
          <w:sz w:val="24"/>
          <w:szCs w:val="24"/>
        </w:rPr>
        <w:t xml:space="preserve"> Es la cantidad de estupefacientes que una persona porta o conserva para su propio consumo. Declarado Exequible por la Corte Constitucional, Sentencia C-221 de 1994</w:t>
      </w:r>
    </w:p>
    <w:p w14:paraId="7759E22C"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b/>
          <w:i/>
          <w:color w:val="000000"/>
          <w:sz w:val="24"/>
          <w:szCs w:val="24"/>
        </w:rPr>
        <w:t>Es dosis para uso personal la cantidad de marihuana que no exceda de veinte</w:t>
      </w:r>
      <w:r w:rsidRPr="001835CF">
        <w:rPr>
          <w:rFonts w:ascii="Arial Narrow" w:eastAsia="Arial Narrow" w:hAnsi="Arial Narrow" w:cs="Arial Narrow"/>
          <w:i/>
          <w:color w:val="000000"/>
          <w:sz w:val="24"/>
          <w:szCs w:val="24"/>
        </w:rPr>
        <w:t xml:space="preserve"> </w:t>
      </w:r>
      <w:r w:rsidRPr="001835CF">
        <w:rPr>
          <w:rFonts w:ascii="Arial Narrow" w:eastAsia="Arial Narrow" w:hAnsi="Arial Narrow" w:cs="Arial Narrow"/>
          <w:b/>
          <w:i/>
          <w:color w:val="000000"/>
          <w:sz w:val="24"/>
          <w:szCs w:val="24"/>
        </w:rPr>
        <w:t>(20) gramos; la de marihuana hachís la que no exceda de cinco (5) gramos</w:t>
      </w:r>
      <w:r w:rsidRPr="001835CF">
        <w:rPr>
          <w:rFonts w:ascii="Arial Narrow" w:eastAsia="Arial Narrow" w:hAnsi="Arial Narrow" w:cs="Arial Narrow"/>
          <w:i/>
          <w:color w:val="000000"/>
          <w:sz w:val="24"/>
          <w:szCs w:val="24"/>
        </w:rPr>
        <w:t>; de cocaína o cualquier sustancia a base de cocaína la que no exceda de un (1) gramo, y de metacualona la que no exceda de dos (2) gramos.</w:t>
      </w:r>
    </w:p>
    <w:p w14:paraId="4E46B243"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No es dosis para uso personal, el estupefaciente que la persona lleve consigo, cuando tenga como fin su distribución o venta, cualquiera que sea su cantidad.</w:t>
      </w:r>
    </w:p>
    <w:p w14:paraId="09318CFC"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b/>
          <w:i/>
          <w:color w:val="000000"/>
          <w:sz w:val="24"/>
          <w:szCs w:val="24"/>
        </w:rPr>
        <w:t>ARTICULO 51</w:t>
      </w:r>
      <w:r w:rsidRPr="001835CF">
        <w:rPr>
          <w:rFonts w:ascii="Arial Narrow" w:eastAsia="Arial Narrow" w:hAnsi="Arial Narrow" w:cs="Arial Narrow"/>
          <w:b/>
          <w:i/>
          <w:color w:val="000000"/>
          <w:sz w:val="24"/>
          <w:szCs w:val="24"/>
          <w:u w:val="single"/>
        </w:rPr>
        <w:t>.</w:t>
      </w:r>
      <w:r w:rsidRPr="001835CF">
        <w:rPr>
          <w:rFonts w:ascii="Arial Narrow" w:eastAsia="Arial Narrow" w:hAnsi="Arial Narrow" w:cs="Arial Narrow"/>
          <w:i/>
          <w:color w:val="000000"/>
          <w:sz w:val="24"/>
          <w:szCs w:val="24"/>
          <w:u w:val="single"/>
        </w:rPr>
        <w:t xml:space="preserve"> </w:t>
      </w:r>
      <w:r w:rsidRPr="001835CF">
        <w:rPr>
          <w:rFonts w:ascii="Arial Narrow" w:eastAsia="Arial Narrow" w:hAnsi="Arial Narrow" w:cs="Arial Narrow"/>
          <w:b/>
          <w:i/>
          <w:color w:val="000000"/>
          <w:sz w:val="24"/>
          <w:szCs w:val="24"/>
          <w:u w:val="single"/>
        </w:rPr>
        <w:t>El que lleve consigo, conserve para su propio uso o consuma, cocaína, marihuana</w:t>
      </w:r>
      <w:r w:rsidRPr="001835CF">
        <w:rPr>
          <w:rFonts w:ascii="Arial Narrow" w:eastAsia="Arial Narrow" w:hAnsi="Arial Narrow" w:cs="Arial Narrow"/>
          <w:i/>
          <w:color w:val="000000"/>
          <w:sz w:val="24"/>
          <w:szCs w:val="24"/>
        </w:rPr>
        <w:t xml:space="preserve"> o cualquier otra droga que produzca dependencia, en cantidad considerada como dosis de uso personal, conforme a lo dispuesto en esta Ley, incurrirá en las siguientes sanciones:</w:t>
      </w:r>
    </w:p>
    <w:p w14:paraId="4CFA4E74"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a) Por primera vez, en arresto hasta por treinta (30) días y multa en cuantía de medio (1/2) salario mínimo mensual.</w:t>
      </w:r>
    </w:p>
    <w:p w14:paraId="39A086BE"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b) Por la segunda vez, en arresto de un (1) mes a un (1) año y multa en cuantía de medio (1/2) a un (1) salario mínimo mensual, siempre que el nuevo hecho se realice dentro de los doce (12) meses siguientes a la comisión del primero.</w:t>
      </w:r>
    </w:p>
    <w:p w14:paraId="5E5DEF41"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c) El usuario o consumidor que, de acuerdo con dictamen médico legal, se encuentre en estado de drogadicción así haya sido sorprendido por primera vez será internado en establecimiento psiquiátrico o similar de carácter oficial o privado, por el término necesario para su recuperación. En este caso no se aplicará multa ni arresto.</w:t>
      </w:r>
    </w:p>
    <w:p w14:paraId="54B06E59"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La autoridad correspondiente podrá confiar al drogadicto al cuidado de la familia o remitirlo, bajo la responsabilidad de éste, a una clínica, hospital o casa de salud, para el tratamiento que corresponda, el cual se prolongará por el tiempo necesario para la recuperación de aquél, que deberá ser certificada por el médico tratante y por la respectiva seccional de Medicina Legal. La familia del drogadicto deberá responder del cumplimiento de sus obligaciones, mediante caución que fijará el funcionario competente, teniendo en cuenta la capacidad económica de aquella.</w:t>
      </w:r>
    </w:p>
    <w:p w14:paraId="0F862F17"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El médico tratante informará periódicamente a la autoridad que haya conocido del caso sobre el estado de salud y rehabilitación del drogadicto. Si la familia faltare a las obligaciones que le corresponden, se le hará efectiva la caución y el internamiento del drogadicto tendrá que cumplirse forzosamente.</w:t>
      </w:r>
    </w:p>
    <w:p w14:paraId="29C94845"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lastRenderedPageBreak/>
        <w:t>Este Artículo fue inicialmente declarado exequible por la Corte Suprema de Justicia, en Sala Plena mediante Sentencia No. 1 del 21 de enero de 1988</w:t>
      </w:r>
      <w:r w:rsidRPr="001835CF">
        <w:rPr>
          <w:rFonts w:ascii="Arial Narrow" w:eastAsia="Arial Narrow" w:hAnsi="Arial Narrow" w:cs="Arial Narrow"/>
          <w:sz w:val="24"/>
          <w:szCs w:val="24"/>
          <w:vertAlign w:val="superscript"/>
        </w:rPr>
        <w:footnoteReference w:id="2"/>
      </w:r>
      <w:r w:rsidRPr="001835CF">
        <w:rPr>
          <w:rFonts w:ascii="Arial Narrow" w:eastAsia="Arial Narrow" w:hAnsi="Arial Narrow" w:cs="Arial Narrow"/>
          <w:sz w:val="24"/>
          <w:szCs w:val="24"/>
        </w:rPr>
        <w:t xml:space="preserve">. </w:t>
      </w:r>
    </w:p>
    <w:p w14:paraId="29E63A69"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La Constitución Política de 1991 consagró como derechos el respeto a la dignidad humana, y </w:t>
      </w:r>
      <w:r w:rsidRPr="001835CF">
        <w:rPr>
          <w:rFonts w:ascii="Arial Narrow" w:eastAsia="Arial Narrow" w:hAnsi="Arial Narrow" w:cs="Arial Narrow"/>
          <w:b/>
          <w:bCs/>
          <w:sz w:val="24"/>
          <w:szCs w:val="24"/>
        </w:rPr>
        <w:t>el libre desarrollo de la personalidad</w:t>
      </w:r>
      <w:r w:rsidRPr="001835CF">
        <w:rPr>
          <w:rFonts w:ascii="Arial Narrow" w:eastAsia="Arial Narrow" w:hAnsi="Arial Narrow" w:cs="Arial Narrow"/>
          <w:sz w:val="24"/>
          <w:szCs w:val="24"/>
        </w:rPr>
        <w:t xml:space="preserve"> teniendo como únicas limitaciones la prevalencia del interés general y el orden jurídico:</w:t>
      </w:r>
    </w:p>
    <w:p w14:paraId="005BA29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sz w:val="24"/>
          <w:szCs w:val="24"/>
        </w:rPr>
        <w:t>“ARTICULO 1o. “</w:t>
      </w:r>
      <w:r w:rsidRPr="001835CF">
        <w:rPr>
          <w:rFonts w:ascii="Arial Narrow" w:eastAsia="Arial Narrow" w:hAnsi="Arial Narrow" w:cs="Arial Narrow"/>
          <w:i/>
          <w:sz w:val="24"/>
          <w:szCs w:val="24"/>
          <w:u w:val="single"/>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Pr="001835CF">
        <w:rPr>
          <w:rFonts w:ascii="Arial Narrow" w:eastAsia="Arial Narrow" w:hAnsi="Arial Narrow" w:cs="Arial Narrow"/>
          <w:i/>
          <w:sz w:val="24"/>
          <w:szCs w:val="24"/>
        </w:rPr>
        <w:t>.”</w:t>
      </w:r>
      <w:r w:rsidRPr="001835CF">
        <w:rPr>
          <w:rFonts w:ascii="Arial Narrow" w:eastAsia="Arial Narrow" w:hAnsi="Arial Narrow" w:cs="Arial Narrow"/>
          <w:sz w:val="24"/>
          <w:szCs w:val="24"/>
        </w:rPr>
        <w:t xml:space="preserve"> </w:t>
      </w:r>
      <w:r w:rsidRPr="001835CF">
        <w:rPr>
          <w:rFonts w:ascii="Arial Narrow" w:eastAsia="Arial Narrow" w:hAnsi="Arial Narrow" w:cs="Arial Narrow"/>
          <w:i/>
          <w:sz w:val="24"/>
          <w:szCs w:val="24"/>
        </w:rPr>
        <w:t xml:space="preserve"> </w:t>
      </w:r>
    </w:p>
    <w:p w14:paraId="56794987"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i/>
          <w:sz w:val="24"/>
          <w:szCs w:val="24"/>
        </w:rPr>
        <w:t>[…]</w:t>
      </w:r>
    </w:p>
    <w:p w14:paraId="0606B59C"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sz w:val="24"/>
          <w:szCs w:val="24"/>
        </w:rPr>
        <w:t>“ARTÍCULO 16</w:t>
      </w:r>
      <w:r w:rsidRPr="001835CF">
        <w:rPr>
          <w:rFonts w:ascii="Arial Narrow" w:eastAsia="Arial Narrow" w:hAnsi="Arial Narrow" w:cs="Arial Narrow"/>
          <w:i/>
          <w:sz w:val="24"/>
          <w:szCs w:val="24"/>
          <w:u w:val="single"/>
        </w:rPr>
        <w:t>. “Todas las personas tienen derecho al libre desarrollo de su personalidad sin más limitaciones que las que imponen los derechos de los demás y el orden jurídico.”</w:t>
      </w:r>
    </w:p>
    <w:p w14:paraId="4A71E34F"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themeColor="text1"/>
          <w:sz w:val="24"/>
          <w:szCs w:val="24"/>
        </w:rPr>
        <w:t xml:space="preserve">En la sentencia C-221 de 1994 la Corte Constitucional, declaró inconstitucional el Artículo 51 de la Ley 30 de 1986 (Estatuto Nacional de Estupefacientes), que penalizaba a las personas que fueran sorprendidas portando la dosis mínima y reivindicó el </w:t>
      </w:r>
      <w:r w:rsidRPr="001835CF">
        <w:rPr>
          <w:rFonts w:ascii="Arial Narrow" w:eastAsia="Arial Narrow" w:hAnsi="Arial Narrow" w:cs="Arial Narrow"/>
          <w:b/>
          <w:bCs/>
          <w:color w:val="000000" w:themeColor="text1"/>
          <w:sz w:val="24"/>
          <w:szCs w:val="24"/>
        </w:rPr>
        <w:t>derecho al libre desarrollo de la personalidad</w:t>
      </w:r>
      <w:r w:rsidRPr="001835CF">
        <w:rPr>
          <w:rFonts w:ascii="Arial Narrow" w:eastAsia="Arial Narrow" w:hAnsi="Arial Narrow" w:cs="Arial Narrow"/>
          <w:color w:val="000000" w:themeColor="text1"/>
          <w:sz w:val="24"/>
          <w:szCs w:val="24"/>
        </w:rPr>
        <w:t>.</w:t>
      </w:r>
    </w:p>
    <w:p w14:paraId="0E2A2C0A"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i/>
          <w:iCs/>
          <w:sz w:val="24"/>
          <w:szCs w:val="24"/>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w:t>
      </w:r>
      <w:r w:rsidRPr="001835CF">
        <w:rPr>
          <w:rFonts w:ascii="Arial Narrow" w:eastAsia="Arial Narrow" w:hAnsi="Arial Narrow" w:cs="Arial Narrow"/>
          <w:b/>
          <w:bCs/>
          <w:i/>
          <w:iCs/>
          <w:sz w:val="24"/>
          <w:szCs w:val="24"/>
          <w:u w:val="single"/>
        </w:rPr>
        <w:t>Si a la persona se le reconoce esa autonomía, no puede limitársela sino en la medida en que entra en conflicto con la autonomía ajena</w:t>
      </w:r>
      <w:r w:rsidRPr="001835CF">
        <w:rPr>
          <w:rFonts w:ascii="Arial Narrow" w:eastAsia="Arial Narrow" w:hAnsi="Arial Narrow" w:cs="Arial Narrow"/>
          <w:b/>
          <w:bCs/>
          <w:i/>
          <w:iCs/>
          <w:sz w:val="24"/>
          <w:szCs w:val="24"/>
        </w:rPr>
        <w:t>.</w:t>
      </w:r>
      <w:r w:rsidRPr="001835CF">
        <w:rPr>
          <w:rFonts w:ascii="Arial Narrow" w:eastAsia="Arial Narrow" w:hAnsi="Arial Narrow" w:cs="Arial Narrow"/>
          <w:i/>
          <w:iCs/>
          <w:sz w:val="24"/>
          <w:szCs w:val="24"/>
        </w:rPr>
        <w:t xml:space="preserve"> El considerar a la persona como autónoma tiene sus consecuencias inevitables e inexorables, y la primera y más importante de todas consiste en que </w:t>
      </w:r>
      <w:r w:rsidRPr="001835CF">
        <w:rPr>
          <w:rFonts w:ascii="Arial Narrow" w:eastAsia="Arial Narrow" w:hAnsi="Arial Narrow" w:cs="Arial Narrow"/>
          <w:b/>
          <w:bCs/>
          <w:i/>
          <w:iCs/>
          <w:sz w:val="24"/>
          <w:szCs w:val="24"/>
          <w:u w:val="single"/>
        </w:rPr>
        <w:t>los asuntos que sólo a la persona atañen, sólo por ella deben ser decididos. Decidir por ella es arrebatarle brutalmente su condición ética, reducirla a la condición de objeto</w:t>
      </w:r>
      <w:r w:rsidRPr="001835CF">
        <w:rPr>
          <w:rFonts w:ascii="Arial Narrow" w:eastAsia="Arial Narrow" w:hAnsi="Arial Narrow" w:cs="Arial Narrow"/>
          <w:i/>
          <w:iCs/>
          <w:sz w:val="24"/>
          <w:szCs w:val="24"/>
          <w:u w:val="single"/>
        </w:rPr>
        <w:t>,</w:t>
      </w:r>
      <w:r w:rsidRPr="001835CF">
        <w:rPr>
          <w:rFonts w:ascii="Arial Narrow" w:eastAsia="Arial Narrow" w:hAnsi="Arial Narrow" w:cs="Arial Narrow"/>
          <w:b/>
          <w:bCs/>
          <w:i/>
          <w:iCs/>
          <w:sz w:val="24"/>
          <w:szCs w:val="24"/>
          <w:u w:val="single"/>
        </w:rPr>
        <w:t xml:space="preserve"> cosificarla, convertirla en medio para los fines que por fuera de ella se eligen</w:t>
      </w:r>
      <w:r w:rsidRPr="001835CF">
        <w:rPr>
          <w:rFonts w:ascii="Arial Narrow" w:eastAsia="Arial Narrow" w:hAnsi="Arial Narrow" w:cs="Arial Narrow"/>
          <w:i/>
          <w:iCs/>
          <w:sz w:val="24"/>
          <w:szCs w:val="24"/>
        </w:rPr>
        <w:t xml:space="preserve">. 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la autonomía de las otras, es parte vital del interés común en una sociedad personalista, como la que ha pretendido configurar la Carta Política que hoy nos rige. </w:t>
      </w:r>
      <w:r w:rsidRPr="001835CF">
        <w:rPr>
          <w:rFonts w:ascii="Arial Narrow" w:eastAsia="Arial Narrow" w:hAnsi="Arial Narrow" w:cs="Arial Narrow"/>
          <w:b/>
          <w:bCs/>
          <w:i/>
          <w:iCs/>
          <w:sz w:val="24"/>
          <w:szCs w:val="24"/>
          <w:u w:val="single"/>
        </w:rPr>
        <w:t>Si el derecho al libre desarrollo de la personalidad tiene algún sentido dentro de nuestro sistema, es preciso concluir que, por las razones anotadas, las normas que hacen del consumo de droga un delito, son claramente inconstitucionales</w:t>
      </w:r>
      <w:r w:rsidRPr="001835CF">
        <w:rPr>
          <w:rFonts w:ascii="Arial Narrow" w:eastAsia="Arial Narrow" w:hAnsi="Arial Narrow" w:cs="Arial Narrow"/>
          <w:i/>
          <w:iCs/>
          <w:sz w:val="24"/>
          <w:szCs w:val="24"/>
        </w:rPr>
        <w:t>.”</w:t>
      </w:r>
    </w:p>
    <w:p w14:paraId="02E8230D"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color w:val="000000"/>
          <w:sz w:val="24"/>
          <w:szCs w:val="24"/>
        </w:rPr>
        <w:t xml:space="preserve">Sin embargo, el Gobierno del expresidente Álvaro Uribe promovió el acto legislativo 02 del 2009 el </w:t>
      </w:r>
      <w:r w:rsidRPr="001835CF">
        <w:rPr>
          <w:rFonts w:ascii="Arial Narrow" w:eastAsia="Arial Narrow" w:hAnsi="Arial Narrow" w:cs="Arial Narrow"/>
          <w:sz w:val="24"/>
          <w:szCs w:val="24"/>
        </w:rPr>
        <w:t>cual modificó el artículo 49 de la Constitución y elevó a rango constitucional, la prohibición del porte y consumo de estupefacientes.</w:t>
      </w:r>
    </w:p>
    <w:p w14:paraId="1E954BAB"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rPr>
        <w:t>ARTÍCULO 49:</w:t>
      </w:r>
      <w:r w:rsidRPr="001835CF">
        <w:rPr>
          <w:rFonts w:ascii="Arial Narrow" w:eastAsia="Arial Narrow" w:hAnsi="Arial Narrow" w:cs="Arial Narrow"/>
          <w:i/>
          <w:sz w:val="24"/>
          <w:szCs w:val="24"/>
        </w:rPr>
        <w:t xml:space="preserve"> La atención de la salud y el saneamiento ambiental son servicios públicos a cargo del Estado. Se garantiza a todas las personas el acceso a los servicios de promoción, protección y recuperación de la salud.</w:t>
      </w:r>
    </w:p>
    <w:p w14:paraId="60849D76"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u w:val="single"/>
        </w:rPr>
        <w:t>El porte y el consumo de sustancias estupefacientes o sicotrópicas está prohibido, salvo prescripción médica</w:t>
      </w:r>
      <w:r w:rsidRPr="001835CF">
        <w:rPr>
          <w:rFonts w:ascii="Arial Narrow" w:eastAsia="Arial Narrow" w:hAnsi="Arial Narrow" w:cs="Arial Narrow"/>
          <w:i/>
          <w:sz w:val="24"/>
          <w:szCs w:val="24"/>
        </w:rPr>
        <w:t>.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5A99AD81"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54A20E72"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La Ley de Seguridad Ciudadana de 2011 que reformó el Código Penal eliminó la excepción de no castigar como delito el porte de la dosis personal</w:t>
      </w:r>
    </w:p>
    <w:p w14:paraId="68110A6C"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Artículo 11.</w:t>
      </w:r>
      <w:r w:rsidRPr="001835CF">
        <w:rPr>
          <w:rFonts w:ascii="Arial Narrow" w:eastAsia="Arial Narrow" w:hAnsi="Arial Narrow" w:cs="Arial Narrow"/>
          <w:sz w:val="24"/>
          <w:szCs w:val="24"/>
        </w:rPr>
        <w:t xml:space="preserve"> Tráfico, fabricación o porte de estupefacientes. El artículo 376 de la Ley 599 de 2000 quedará así:</w:t>
      </w:r>
    </w:p>
    <w:p w14:paraId="70C9B75C"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Artículo 376. Tráfico, fabricación o porte de estupefacientes. El que sin permiso de autoridad competente, introduzca al país, así sea en tránsito o saque de él, transporte, </w:t>
      </w:r>
      <w:r w:rsidRPr="001835CF">
        <w:rPr>
          <w:rFonts w:ascii="Arial Narrow" w:eastAsia="Arial Narrow" w:hAnsi="Arial Narrow" w:cs="Arial Narrow"/>
          <w:b/>
          <w:i/>
          <w:sz w:val="24"/>
          <w:szCs w:val="24"/>
          <w:u w:val="single"/>
        </w:rPr>
        <w:t>lleve consigo</w:t>
      </w:r>
      <w:r w:rsidRPr="001835CF">
        <w:rPr>
          <w:rFonts w:ascii="Arial Narrow" w:eastAsia="Arial Narrow" w:hAnsi="Arial Narrow" w:cs="Arial Narrow"/>
          <w:i/>
          <w:sz w:val="24"/>
          <w:szCs w:val="24"/>
        </w:rPr>
        <w:t>, almacene, conserve, elabore, venda, ofrezca, adquiera, financie o suministre a cualquier título sustancia estupefaciente, sicotrópica o drogas sintéticas que se encuentren contempladas en los cuadros uno, dos, tres y cuatro del Convenio de las Naciones Unidas sobre Sustancias Sicotrópicas, incurrirá en prisión de ciento veintiocho (128) a trescientos sesenta (360) meses y multa de mil trescientos treinta y cuatro (1.334) a cincuenta mil (50.000) salarios mínimos legales mensuales vigentes.</w:t>
      </w:r>
    </w:p>
    <w:p w14:paraId="058C345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Artículo declarado EXEQUIBLE por la Corte Constitucional mediante Sentencia C-491 de 2012, en el entendido que</w:t>
      </w:r>
      <w:r w:rsidRPr="001835CF">
        <w:rPr>
          <w:rFonts w:ascii="Arial Narrow" w:eastAsia="Arial Narrow" w:hAnsi="Arial Narrow" w:cs="Arial Narrow"/>
          <w:b/>
          <w:sz w:val="24"/>
          <w:szCs w:val="24"/>
          <w:u w:val="single"/>
        </w:rPr>
        <w:t xml:space="preserve"> no incluye la penalización del porte o conservación de dosis, exclusivamente destinada al consumo personal de sustancia estupefaciente, sicotrópica o droga sintética</w:t>
      </w:r>
      <w:r w:rsidRPr="001835CF">
        <w:rPr>
          <w:rFonts w:ascii="Arial Narrow" w:eastAsia="Arial Narrow" w:hAnsi="Arial Narrow" w:cs="Arial Narrow"/>
          <w:b/>
          <w:sz w:val="24"/>
          <w:szCs w:val="24"/>
        </w:rPr>
        <w:t>,</w:t>
      </w:r>
      <w:r w:rsidRPr="001835CF">
        <w:rPr>
          <w:rFonts w:ascii="Arial Narrow" w:eastAsia="Arial Narrow" w:hAnsi="Arial Narrow" w:cs="Arial Narrow"/>
          <w:sz w:val="24"/>
          <w:szCs w:val="24"/>
        </w:rPr>
        <w:t xml:space="preserve"> a las que se refiere el precepto acusado. </w:t>
      </w:r>
    </w:p>
    <w:p w14:paraId="6EC1BC02"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themeColor="text1"/>
          <w:sz w:val="24"/>
          <w:szCs w:val="24"/>
        </w:rPr>
        <w:t xml:space="preserve">En 2016 el Gobierno del expresidente Juan Manuel Santos promovió la ley 1801 de 2016 que prohibió el porte y consumo de la dosis mínima y facultó a la Policía Nacional para </w:t>
      </w:r>
      <w:r w:rsidRPr="001835CF">
        <w:rPr>
          <w:rFonts w:ascii="Arial Narrow" w:eastAsia="Arial Narrow" w:hAnsi="Arial Narrow" w:cs="Arial Narrow"/>
          <w:sz w:val="24"/>
          <w:szCs w:val="24"/>
        </w:rPr>
        <w:t>decomisar las</w:t>
      </w:r>
      <w:r w:rsidRPr="001835CF">
        <w:rPr>
          <w:rFonts w:ascii="Arial Narrow" w:eastAsia="Arial Narrow" w:hAnsi="Arial Narrow" w:cs="Arial Narrow"/>
          <w:color w:val="000000" w:themeColor="text1"/>
          <w:sz w:val="24"/>
          <w:szCs w:val="24"/>
        </w:rPr>
        <w:t xml:space="preserve"> sustancias estupefacientes e imponer sanciones yendo en contravía de la jurisprudencia desarrollada hasta el momento.</w:t>
      </w:r>
    </w:p>
    <w:p w14:paraId="19568BF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ARTÍCULO 33. </w:t>
      </w:r>
      <w:r w:rsidRPr="001835CF">
        <w:rPr>
          <w:rFonts w:ascii="Arial Narrow" w:eastAsia="Arial Narrow" w:hAnsi="Arial Narrow" w:cs="Arial Narrow"/>
          <w:b/>
          <w:i/>
          <w:sz w:val="24"/>
          <w:szCs w:val="24"/>
        </w:rPr>
        <w:t>COMPORTAMIENTOS QUE AFECTAN LA TRANQUILIDAD Y RELACIONES RESPETUOSAS DE LAS PERSONAS</w:t>
      </w:r>
      <w:r w:rsidRPr="001835CF">
        <w:rPr>
          <w:rFonts w:ascii="Arial Narrow" w:eastAsia="Arial Narrow" w:hAnsi="Arial Narrow" w:cs="Arial Narrow"/>
          <w:i/>
          <w:sz w:val="24"/>
          <w:szCs w:val="24"/>
        </w:rPr>
        <w:t>.  Los siguientes comportamientos afectan la tranquilidad y relaciones respetuosas de las personas y por lo tanto no deben efectuarse:</w:t>
      </w:r>
    </w:p>
    <w:p w14:paraId="28446AA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 </w:t>
      </w:r>
    </w:p>
    <w:p w14:paraId="63BC8665"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2. En espacio público, lugares abiertos al público, o que siendo privados trasciendan a lo público:</w:t>
      </w:r>
    </w:p>
    <w:p w14:paraId="527CC8F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w:t>
      </w:r>
    </w:p>
    <w:p w14:paraId="1836009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c) </w:t>
      </w:r>
      <w:r w:rsidRPr="001835CF">
        <w:rPr>
          <w:rFonts w:ascii="Arial Narrow" w:eastAsia="Arial Narrow" w:hAnsi="Arial Narrow" w:cs="Arial Narrow"/>
          <w:b/>
          <w:i/>
          <w:sz w:val="24"/>
          <w:szCs w:val="24"/>
          <w:u w:val="single"/>
        </w:rPr>
        <w:t>Consumir sustancias alcohólicas, psicoactivas</w:t>
      </w:r>
      <w:r w:rsidRPr="001835CF">
        <w:rPr>
          <w:rFonts w:ascii="Arial Narrow" w:eastAsia="Arial Narrow" w:hAnsi="Arial Narrow" w:cs="Arial Narrow"/>
          <w:i/>
          <w:sz w:val="24"/>
          <w:szCs w:val="24"/>
        </w:rPr>
        <w:t xml:space="preserve"> o prohibidas, no autorizados para su consumo.</w:t>
      </w:r>
    </w:p>
    <w:p w14:paraId="6AC0C94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 </w:t>
      </w:r>
    </w:p>
    <w:p w14:paraId="00F60295"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rPr>
        <w:t>ARTÍCULO 140</w:t>
      </w:r>
      <w:r w:rsidRPr="001835CF">
        <w:rPr>
          <w:rFonts w:ascii="Arial Narrow" w:eastAsia="Arial Narrow" w:hAnsi="Arial Narrow" w:cs="Arial Narrow"/>
          <w:i/>
          <w:sz w:val="24"/>
          <w:szCs w:val="24"/>
        </w:rPr>
        <w:t xml:space="preserve">. </w:t>
      </w:r>
      <w:r w:rsidRPr="001835CF">
        <w:rPr>
          <w:rFonts w:ascii="Arial Narrow" w:eastAsia="Arial Narrow" w:hAnsi="Arial Narrow" w:cs="Arial Narrow"/>
          <w:b/>
          <w:i/>
          <w:sz w:val="24"/>
          <w:szCs w:val="24"/>
        </w:rPr>
        <w:t>COMPORTAMIENTOS CONTRARIOS AL CUIDADO E INTEGRIDAD DEL ESPACIO PÚBLICO.</w:t>
      </w:r>
      <w:r w:rsidRPr="001835CF">
        <w:rPr>
          <w:rFonts w:ascii="Arial Narrow" w:eastAsia="Arial Narrow" w:hAnsi="Arial Narrow" w:cs="Arial Narrow"/>
          <w:i/>
          <w:sz w:val="24"/>
          <w:szCs w:val="24"/>
        </w:rPr>
        <w:t xml:space="preserve"> Los siguientes comportamientos son contrarios al cuidado e integridad del espacio público y por lo tanto no deben efectuarse: </w:t>
      </w:r>
    </w:p>
    <w:p w14:paraId="78CDCF8A"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p>
    <w:p w14:paraId="0A9FD0EE"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7. </w:t>
      </w:r>
      <w:r w:rsidRPr="001835CF">
        <w:rPr>
          <w:rFonts w:ascii="Arial Narrow" w:eastAsia="Arial Narrow" w:hAnsi="Arial Narrow" w:cs="Arial Narrow"/>
          <w:b/>
          <w:i/>
          <w:sz w:val="24"/>
          <w:szCs w:val="24"/>
          <w:u w:val="single"/>
        </w:rPr>
        <w:t>Consumir bebidas alcohólicas, sustancias psicoactivas</w:t>
      </w:r>
      <w:r w:rsidRPr="001835CF">
        <w:rPr>
          <w:rFonts w:ascii="Arial Narrow" w:eastAsia="Arial Narrow" w:hAnsi="Arial Narrow" w:cs="Arial Narrow"/>
          <w:i/>
          <w:sz w:val="24"/>
          <w:szCs w:val="24"/>
        </w:rPr>
        <w:t xml:space="preserve"> o prohibidas en estadios, coliseos, centros deportivos, </w:t>
      </w:r>
      <w:r w:rsidRPr="001835CF">
        <w:rPr>
          <w:rFonts w:ascii="Arial Narrow" w:eastAsia="Arial Narrow" w:hAnsi="Arial Narrow" w:cs="Arial Narrow"/>
          <w:b/>
          <w:i/>
          <w:sz w:val="24"/>
          <w:szCs w:val="24"/>
          <w:u w:val="single"/>
        </w:rPr>
        <w:t>parques</w:t>
      </w:r>
      <w:r w:rsidRPr="001835CF">
        <w:rPr>
          <w:rFonts w:ascii="Arial Narrow" w:eastAsia="Arial Narrow" w:hAnsi="Arial Narrow" w:cs="Arial Narrow"/>
          <w:i/>
          <w:sz w:val="24"/>
          <w:szCs w:val="24"/>
        </w:rPr>
        <w:t xml:space="preserve">, hospitales, centros de salud y en general, </w:t>
      </w:r>
      <w:r w:rsidRPr="001835CF">
        <w:rPr>
          <w:rFonts w:ascii="Arial Narrow" w:eastAsia="Arial Narrow" w:hAnsi="Arial Narrow" w:cs="Arial Narrow"/>
          <w:b/>
          <w:i/>
          <w:sz w:val="24"/>
          <w:szCs w:val="24"/>
          <w:u w:val="single"/>
        </w:rPr>
        <w:t>en el espacio público</w:t>
      </w:r>
      <w:r w:rsidRPr="001835CF">
        <w:rPr>
          <w:rFonts w:ascii="Arial Narrow" w:eastAsia="Arial Narrow" w:hAnsi="Arial Narrow" w:cs="Arial Narrow"/>
          <w:i/>
          <w:sz w:val="24"/>
          <w:szCs w:val="24"/>
        </w:rPr>
        <w:t xml:space="preserve">, excepto en las actividades autorizadas por la autoridad competente. </w:t>
      </w:r>
    </w:p>
    <w:p w14:paraId="301EF9C7"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themeColor="text1"/>
          <w:sz w:val="24"/>
          <w:szCs w:val="24"/>
        </w:rPr>
        <w:t>No obstante, la Corte Suprema de Justicia mediante sentencia SP-2940-2016, reconoció la posibilidad de la despenalización del porte en cantidades mayores a las definidas como dosis mínima, afirmando que los consumidores, enfermos o adictos, podían portar una cantidad diferente a la fijada por la ley, siempre que esta fuera para su consumo personal o aprovisionamiento y no existieran indicios de tráfico de sustancias de uso ilícito.</w:t>
      </w:r>
    </w:p>
    <w:p w14:paraId="2F610D6D" w14:textId="77777777" w:rsidR="0086045B" w:rsidRPr="001835CF" w:rsidRDefault="0086045B" w:rsidP="0086045B">
      <w:pPr>
        <w:jc w:val="both"/>
        <w:rPr>
          <w:rFonts w:ascii="Arial Narrow" w:eastAsia="Arial Narrow" w:hAnsi="Arial Narrow" w:cs="Arial Narrow"/>
          <w:i/>
          <w:iCs/>
          <w:color w:val="000000"/>
          <w:sz w:val="24"/>
          <w:szCs w:val="24"/>
        </w:rPr>
      </w:pPr>
      <w:r w:rsidRPr="001835CF">
        <w:rPr>
          <w:rFonts w:ascii="Arial Narrow" w:eastAsia="Arial Narrow" w:hAnsi="Arial Narrow" w:cs="Arial Narrow"/>
          <w:color w:val="000000" w:themeColor="text1"/>
          <w:sz w:val="24"/>
          <w:szCs w:val="24"/>
        </w:rPr>
        <w:t xml:space="preserve">En octubre de 2018 el Gobierno del ex Presidente Iván Duque expidió el Decreto 1844 </w:t>
      </w:r>
      <w:r w:rsidRPr="001835CF">
        <w:rPr>
          <w:rFonts w:ascii="Arial Narrow" w:eastAsia="Arial Narrow" w:hAnsi="Arial Narrow" w:cs="Arial Narrow"/>
          <w:i/>
          <w:iCs/>
          <w:color w:val="000000" w:themeColor="text1"/>
          <w:sz w:val="24"/>
          <w:szCs w:val="24"/>
        </w:rPr>
        <w:t>“Por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p>
    <w:p w14:paraId="394CE909" w14:textId="77777777" w:rsidR="0086045B" w:rsidRPr="001835CF" w:rsidRDefault="0086045B" w:rsidP="0086045B">
      <w:pPr>
        <w:ind w:left="720"/>
        <w:jc w:val="both"/>
        <w:rPr>
          <w:rFonts w:ascii="Arial Narrow" w:eastAsia="Arial Narrow" w:hAnsi="Arial Narrow" w:cs="Arial Narrow"/>
          <w:i/>
          <w:color w:val="000000"/>
          <w:sz w:val="24"/>
          <w:szCs w:val="24"/>
        </w:rPr>
      </w:pPr>
      <w:r w:rsidRPr="001835CF">
        <w:rPr>
          <w:rFonts w:ascii="Arial Narrow" w:eastAsia="Arial Narrow" w:hAnsi="Arial Narrow" w:cs="Arial Narrow"/>
          <w:b/>
          <w:i/>
          <w:color w:val="000000"/>
          <w:sz w:val="24"/>
          <w:szCs w:val="24"/>
        </w:rPr>
        <w:t xml:space="preserve">ARTÍCULO 2.2.8.9.1. </w:t>
      </w:r>
      <w:r w:rsidRPr="001835CF">
        <w:rPr>
          <w:rFonts w:ascii="Arial Narrow" w:eastAsia="Arial Narrow" w:hAnsi="Arial Narrow" w:cs="Arial Narrow"/>
          <w:i/>
          <w:color w:val="000000"/>
          <w:sz w:val="24"/>
          <w:szCs w:val="24"/>
        </w:rPr>
        <w:t xml:space="preserve">Verificación de la infracción. En el marco del Proceso Único de Policía, cuando la autoridad advierta la posible infracción de la prohibición de tenencia o porte de sustancias psicoactivas ilícitas, tales </w:t>
      </w:r>
      <w:r w:rsidRPr="001835CF">
        <w:rPr>
          <w:rFonts w:ascii="Arial Narrow" w:eastAsia="Arial Narrow" w:hAnsi="Arial Narrow" w:cs="Arial Narrow"/>
          <w:b/>
          <w:i/>
          <w:color w:val="000000"/>
          <w:sz w:val="24"/>
          <w:szCs w:val="24"/>
        </w:rPr>
        <w:t>(i)</w:t>
      </w:r>
      <w:r w:rsidRPr="001835CF">
        <w:rPr>
          <w:rFonts w:ascii="Arial Narrow" w:eastAsia="Arial Narrow" w:hAnsi="Arial Narrow" w:cs="Arial Narrow"/>
          <w:i/>
          <w:color w:val="000000"/>
          <w:sz w:val="24"/>
          <w:szCs w:val="24"/>
        </w:rPr>
        <w:t xml:space="preserve"> como marihuana, cocaína o sustancias derivadas de la cocaína, heroína o derivados de la amapola, drogas sintéticas</w:t>
      </w:r>
    </w:p>
    <w:p w14:paraId="5694E15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p>
    <w:p w14:paraId="28950BF0"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r w:rsidRPr="001835CF">
        <w:rPr>
          <w:rFonts w:ascii="Arial Narrow" w:eastAsia="Arial Narrow" w:hAnsi="Arial Narrow" w:cs="Arial Narrow"/>
          <w:b/>
          <w:i/>
          <w:sz w:val="24"/>
          <w:szCs w:val="24"/>
        </w:rPr>
        <w:t>iv</w:t>
      </w:r>
      <w:r w:rsidRPr="001835CF">
        <w:rPr>
          <w:rFonts w:ascii="Arial Narrow" w:eastAsia="Arial Narrow" w:hAnsi="Arial Narrow" w:cs="Arial Narrow"/>
          <w:i/>
          <w:sz w:val="24"/>
          <w:szCs w:val="24"/>
        </w:rPr>
        <w:t>) así como cualquier otra sustancia que se encuentre legalmente prohibida, se aplicará el procedimiento establecido en el proceso verbal inmediato de que trata el artículo 222 de Ley 1801 de 2016, "por la cual se expide el Código Nacional de Policía y Convivencia".</w:t>
      </w:r>
    </w:p>
    <w:p w14:paraId="78F7C76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p>
    <w:p w14:paraId="54A9DD16" w14:textId="77777777" w:rsidR="0086045B" w:rsidRPr="001835CF" w:rsidRDefault="0086045B" w:rsidP="0086045B">
      <w:pPr>
        <w:ind w:left="708"/>
        <w:jc w:val="both"/>
        <w:rPr>
          <w:rFonts w:ascii="Arial Narrow" w:eastAsia="Arial Narrow" w:hAnsi="Arial Narrow" w:cs="Arial Narrow"/>
          <w:b/>
          <w:bCs/>
          <w:i/>
          <w:iCs/>
          <w:color w:val="000000"/>
          <w:sz w:val="24"/>
          <w:szCs w:val="24"/>
        </w:rPr>
      </w:pPr>
      <w:r w:rsidRPr="001835CF">
        <w:rPr>
          <w:rFonts w:ascii="Arial Narrow" w:eastAsia="Arial Narrow" w:hAnsi="Arial Narrow" w:cs="Arial Narrow"/>
          <w:b/>
          <w:bCs/>
          <w:i/>
          <w:iCs/>
          <w:color w:val="000000" w:themeColor="text1"/>
          <w:sz w:val="24"/>
          <w:szCs w:val="24"/>
        </w:rPr>
        <w:t>ARTÍCULO 2.2.8.9.3.</w:t>
      </w:r>
      <w:r w:rsidRPr="001835CF">
        <w:rPr>
          <w:rFonts w:ascii="Arial Narrow" w:eastAsia="Arial Narrow" w:hAnsi="Arial Narrow" w:cs="Arial Narrow"/>
          <w:i/>
          <w:iCs/>
          <w:color w:val="000000" w:themeColor="text1"/>
          <w:sz w:val="24"/>
          <w:szCs w:val="24"/>
        </w:rPr>
        <w:t xml:space="preserve"> Consecuencia de la infracción. En el evento en que el presunto infractor, una vez surtido el trámite del proceso verbal inmediato de que trata el 222 del Código Nacional de Policía y Convivencia, sea encontrado como responsable de un comportamiento contrario a la convivencia relacionado con el porte de sustancias estupefacientes o sicotrópicas, procederá a imponer, en todo caso la medida correctiva de destrucción del bien, sin perjuicio de las demás a las que hubiere lugar.</w:t>
      </w:r>
    </w:p>
    <w:p w14:paraId="13937C06" w14:textId="77777777" w:rsidR="0086045B" w:rsidRPr="001835CF" w:rsidRDefault="0086045B" w:rsidP="0086045B">
      <w:pPr>
        <w:jc w:val="both"/>
        <w:rPr>
          <w:rFonts w:ascii="Arial Narrow" w:eastAsia="Arial Narrow" w:hAnsi="Arial Narrow" w:cs="Arial Narrow"/>
          <w:b/>
          <w:bCs/>
          <w:sz w:val="24"/>
          <w:szCs w:val="24"/>
        </w:rPr>
      </w:pPr>
      <w:r w:rsidRPr="001835CF">
        <w:rPr>
          <w:rFonts w:ascii="Arial Narrow" w:eastAsia="Arial Narrow" w:hAnsi="Arial Narrow" w:cs="Arial Narrow"/>
          <w:color w:val="000000" w:themeColor="text1"/>
          <w:sz w:val="24"/>
          <w:szCs w:val="24"/>
        </w:rPr>
        <w:t>En el 2019, nuevamente la Corte Constitucional a través de la sentencia C-253 de 2019, protegió el derecho de los usuarios declarando inexequible las expresiones ‘</w:t>
      </w:r>
      <w:r w:rsidRPr="001835CF">
        <w:rPr>
          <w:rFonts w:ascii="Arial Narrow" w:eastAsia="Arial Narrow" w:hAnsi="Arial Narrow" w:cs="Arial Narrow"/>
          <w:b/>
          <w:bCs/>
          <w:color w:val="000000" w:themeColor="text1"/>
          <w:sz w:val="24"/>
          <w:szCs w:val="24"/>
        </w:rPr>
        <w:t>alcohólicas, psicoactivas</w:t>
      </w:r>
      <w:r w:rsidRPr="001835CF">
        <w:rPr>
          <w:rFonts w:ascii="Arial Narrow" w:eastAsia="Arial Narrow" w:hAnsi="Arial Narrow" w:cs="Arial Narrow"/>
          <w:color w:val="000000" w:themeColor="text1"/>
          <w:sz w:val="24"/>
          <w:szCs w:val="24"/>
        </w:rPr>
        <w:t xml:space="preserve"> o’ de los Artículos 33 (literal c, numeral 2) y 140 (numeral 7) del Código Nacional de Policía y Convivencia.</w:t>
      </w:r>
    </w:p>
    <w:p w14:paraId="1C099C4B" w14:textId="77777777" w:rsidR="0086045B" w:rsidRPr="001835CF" w:rsidRDefault="0086045B" w:rsidP="0086045B">
      <w:pPr>
        <w:ind w:left="720"/>
        <w:jc w:val="both"/>
        <w:rPr>
          <w:rFonts w:ascii="Arial Narrow" w:eastAsia="Arial Narrow" w:hAnsi="Arial Narrow" w:cs="Arial Narrow"/>
          <w:b/>
          <w:sz w:val="24"/>
          <w:szCs w:val="24"/>
        </w:rPr>
      </w:pPr>
      <w:r w:rsidRPr="001835CF">
        <w:rPr>
          <w:rFonts w:ascii="Arial Narrow" w:eastAsia="Arial Narrow" w:hAnsi="Arial Narrow" w:cs="Arial Narrow"/>
          <w:b/>
          <w:sz w:val="24"/>
          <w:szCs w:val="24"/>
        </w:rPr>
        <w:t>Decisión</w:t>
      </w:r>
    </w:p>
    <w:p w14:paraId="37BD9FDF" w14:textId="77777777" w:rsidR="0086045B" w:rsidRPr="001835CF" w:rsidRDefault="0086045B" w:rsidP="0086045B">
      <w:pPr>
        <w:ind w:left="720"/>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Primero. </w:t>
      </w:r>
      <w:r w:rsidRPr="001835CF">
        <w:rPr>
          <w:rFonts w:ascii="Arial Narrow" w:eastAsia="Arial Narrow" w:hAnsi="Arial Narrow" w:cs="Arial Narrow"/>
          <w:b/>
          <w:i/>
          <w:sz w:val="24"/>
          <w:szCs w:val="24"/>
        </w:rPr>
        <w:t>Declarar INEXEQUIBLES</w:t>
      </w:r>
      <w:r w:rsidRPr="001835CF">
        <w:rPr>
          <w:rFonts w:ascii="Arial Narrow" w:eastAsia="Arial Narrow" w:hAnsi="Arial Narrow" w:cs="Arial Narrow"/>
          <w:i/>
          <w:sz w:val="24"/>
          <w:szCs w:val="24"/>
        </w:rPr>
        <w:t xml:space="preserve"> las expresiones </w:t>
      </w:r>
      <w:r w:rsidRPr="001835CF">
        <w:rPr>
          <w:rFonts w:ascii="Arial Narrow" w:eastAsia="Arial Narrow" w:hAnsi="Arial Narrow" w:cs="Arial Narrow"/>
          <w:b/>
          <w:i/>
          <w:sz w:val="24"/>
          <w:szCs w:val="24"/>
          <w:u w:val="single"/>
        </w:rPr>
        <w:t>‘alcohólicas, psicoactivas o</w:t>
      </w:r>
      <w:r w:rsidRPr="001835CF">
        <w:rPr>
          <w:rFonts w:ascii="Arial Narrow" w:eastAsia="Arial Narrow" w:hAnsi="Arial Narrow" w:cs="Arial Narrow"/>
          <w:i/>
          <w:sz w:val="24"/>
          <w:szCs w:val="24"/>
        </w:rPr>
        <w:t xml:space="preserve">’ contenidas en el Artículo 33 (literal c, numeral 2) del Código Nacional de Policía y Convivencia (Ley 1801 de 2016). </w:t>
      </w:r>
    </w:p>
    <w:p w14:paraId="00AAF174" w14:textId="77777777" w:rsidR="0086045B" w:rsidRPr="001835CF" w:rsidRDefault="0086045B" w:rsidP="0086045B">
      <w:pPr>
        <w:ind w:left="720"/>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Segundo. </w:t>
      </w:r>
      <w:r w:rsidRPr="001835CF">
        <w:rPr>
          <w:rFonts w:ascii="Arial Narrow" w:eastAsia="Arial Narrow" w:hAnsi="Arial Narrow" w:cs="Arial Narrow"/>
          <w:b/>
          <w:i/>
          <w:sz w:val="24"/>
          <w:szCs w:val="24"/>
        </w:rPr>
        <w:t>Declarar INEXEQUIBLES</w:t>
      </w:r>
      <w:r w:rsidRPr="001835CF">
        <w:rPr>
          <w:rFonts w:ascii="Arial Narrow" w:eastAsia="Arial Narrow" w:hAnsi="Arial Narrow" w:cs="Arial Narrow"/>
          <w:i/>
          <w:sz w:val="24"/>
          <w:szCs w:val="24"/>
        </w:rPr>
        <w:t xml:space="preserve"> las expresiones ‘</w:t>
      </w:r>
      <w:r w:rsidRPr="001835CF">
        <w:rPr>
          <w:rFonts w:ascii="Arial Narrow" w:eastAsia="Arial Narrow" w:hAnsi="Arial Narrow" w:cs="Arial Narrow"/>
          <w:b/>
          <w:i/>
          <w:sz w:val="24"/>
          <w:szCs w:val="24"/>
          <w:u w:val="single"/>
        </w:rPr>
        <w:t>bebidas alcohólicas'</w:t>
      </w:r>
      <w:r w:rsidRPr="001835CF">
        <w:rPr>
          <w:rFonts w:ascii="Arial Narrow" w:eastAsia="Arial Narrow" w:hAnsi="Arial Narrow" w:cs="Arial Narrow"/>
          <w:i/>
          <w:sz w:val="24"/>
          <w:szCs w:val="24"/>
        </w:rPr>
        <w:t xml:space="preserve"> y '</w:t>
      </w:r>
      <w:r w:rsidRPr="001835CF">
        <w:rPr>
          <w:rFonts w:ascii="Arial Narrow" w:eastAsia="Arial Narrow" w:hAnsi="Arial Narrow" w:cs="Arial Narrow"/>
          <w:b/>
          <w:i/>
          <w:sz w:val="24"/>
          <w:szCs w:val="24"/>
          <w:u w:val="single"/>
        </w:rPr>
        <w:t>psicoactivas</w:t>
      </w:r>
      <w:r w:rsidRPr="001835CF">
        <w:rPr>
          <w:rFonts w:ascii="Arial Narrow" w:eastAsia="Arial Narrow" w:hAnsi="Arial Narrow" w:cs="Arial Narrow"/>
          <w:i/>
          <w:sz w:val="24"/>
          <w:szCs w:val="24"/>
          <w:u w:val="single"/>
        </w:rPr>
        <w:t xml:space="preserve"> </w:t>
      </w:r>
      <w:r w:rsidRPr="001835CF">
        <w:rPr>
          <w:rFonts w:ascii="Arial Narrow" w:eastAsia="Arial Narrow" w:hAnsi="Arial Narrow" w:cs="Arial Narrow"/>
          <w:b/>
          <w:i/>
          <w:sz w:val="24"/>
          <w:szCs w:val="24"/>
          <w:u w:val="single"/>
        </w:rPr>
        <w:t>o</w:t>
      </w:r>
      <w:r w:rsidRPr="001835CF">
        <w:rPr>
          <w:rFonts w:ascii="Arial Narrow" w:eastAsia="Arial Narrow" w:hAnsi="Arial Narrow" w:cs="Arial Narrow"/>
          <w:i/>
          <w:sz w:val="24"/>
          <w:szCs w:val="24"/>
        </w:rPr>
        <w:t>’ contenidas en el Artículo 140 (numeral 7) del Código Nacional de Policía y Convivencia (Ley 1801 de 2016).</w:t>
      </w:r>
    </w:p>
    <w:p w14:paraId="38FD8E89"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Por otra parte, el Congreso de la República aprobó el 6 de julio de 2016 la ley 1787, reglamentando el Acto Legislativo 02 de 2009, relativo al artículo 49 de la Constitución creando un marco regulatorio que permita el acceso seguro e informado al uso médico y científico del cannabis y sus derivados en el territorio nacional.  &lt;dicha ley en su artículo 3 señala:</w:t>
      </w:r>
    </w:p>
    <w:p w14:paraId="7251FBBA"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Artículo 3:</w:t>
      </w:r>
      <w:r w:rsidRPr="001835CF">
        <w:rPr>
          <w:rFonts w:ascii="Arial Narrow" w:eastAsia="Arial Narrow" w:hAnsi="Arial Narrow" w:cs="Arial Narrow"/>
          <w:sz w:val="24"/>
          <w:szCs w:val="24"/>
        </w:rPr>
        <w:t xml:space="preserve"> </w:t>
      </w:r>
      <w:r w:rsidRPr="001835CF">
        <w:rPr>
          <w:rFonts w:ascii="Arial Narrow" w:eastAsia="Arial Narrow" w:hAnsi="Arial Narrow" w:cs="Arial Narrow"/>
          <w:i/>
          <w:sz w:val="24"/>
          <w:szCs w:val="24"/>
        </w:rPr>
        <w:t>El Estado asumirá el control y la regulación de las actividades de cultivo, producción, fabricación, adquisición a cualquier título, importación, exportación, almacenamiento, transporte, comercialización, distribución, uso y posesión de las semillas de la planta de cannabis, del cannabis, de sus derivados y de los productos que lo contengan con fines medicinales y científicos, en los términos y condiciones que al respecto fije la reglamentación</w:t>
      </w:r>
      <w:r w:rsidRPr="001835CF">
        <w:rPr>
          <w:rFonts w:ascii="Arial Narrow" w:eastAsia="Arial Narrow" w:hAnsi="Arial Narrow" w:cs="Arial Narrow"/>
          <w:sz w:val="24"/>
          <w:szCs w:val="24"/>
        </w:rPr>
        <w:t>.</w:t>
      </w:r>
    </w:p>
    <w:p w14:paraId="4E3311B2"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Desde ese momento, el Gobierno Nacional ha desarrollado una</w:t>
      </w:r>
      <w:r w:rsidRPr="001835CF">
        <w:rPr>
          <w:rFonts w:ascii="Arial Narrow" w:eastAsia="Arial Narrow" w:hAnsi="Arial Narrow" w:cs="Arial Narrow"/>
          <w:b/>
          <w:bCs/>
          <w:sz w:val="24"/>
          <w:szCs w:val="24"/>
        </w:rPr>
        <w:t xml:space="preserve"> </w:t>
      </w:r>
      <w:r w:rsidRPr="001835CF">
        <w:rPr>
          <w:rFonts w:ascii="Arial Narrow" w:eastAsia="Arial Narrow" w:hAnsi="Arial Narrow" w:cs="Arial Narrow"/>
          <w:sz w:val="24"/>
          <w:szCs w:val="24"/>
        </w:rPr>
        <w:t>serie de reglamentaciones con el fin de regularizar la producción y transformación del cannabis para uso medicinal en un sistema riguroso de licencias y requisitos para la producción y acceso al producto.</w:t>
      </w:r>
    </w:p>
    <w:p w14:paraId="183AAEB6"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sz w:val="24"/>
          <w:szCs w:val="24"/>
        </w:rPr>
        <w:t xml:space="preserve">La ley 2204 de mayo del 2022 </w:t>
      </w:r>
      <w:r w:rsidRPr="001835CF">
        <w:rPr>
          <w:rFonts w:ascii="Arial Narrow" w:eastAsia="Arial Narrow" w:hAnsi="Arial Narrow" w:cs="Arial Narrow"/>
          <w:color w:val="000000" w:themeColor="text1"/>
          <w:sz w:val="24"/>
          <w:szCs w:val="24"/>
        </w:rPr>
        <w:t>creó el marco legal para el uso industrial y científico del cáñamo en Colombia, creó la posibilidad dentro del Programa Nacional Integral de Sustitución de Cultivos Ilícitos, de usar cáñamo industrial como producto de sustitución y desarrolla una serie de incentivos.</w:t>
      </w:r>
    </w:p>
    <w:p w14:paraId="1E4D35D0"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rPr>
        <w:t>Artículo 13:</w:t>
      </w:r>
      <w:r w:rsidRPr="001835CF">
        <w:rPr>
          <w:rFonts w:ascii="Arial Narrow" w:eastAsia="Arial Narrow" w:hAnsi="Arial Narrow" w:cs="Arial Narrow"/>
          <w:i/>
          <w:sz w:val="24"/>
          <w:szCs w:val="24"/>
        </w:rPr>
        <w:t xml:space="preserve"> Programa Nacional Integral de Sustitución de Cultivos. Las personas naturales y/o jurídicas </w:t>
      </w:r>
      <w:r w:rsidRPr="001835CF">
        <w:rPr>
          <w:rFonts w:ascii="Arial Narrow" w:eastAsia="Arial Narrow" w:hAnsi="Arial Narrow" w:cs="Arial Narrow"/>
          <w:b/>
          <w:i/>
          <w:sz w:val="24"/>
          <w:szCs w:val="24"/>
          <w:u w:val="single"/>
        </w:rPr>
        <w:t>que hagan parte de cualquier modelo de sustitución voluntaria de cultivos de uso ilícito</w:t>
      </w:r>
      <w:r w:rsidRPr="001835CF">
        <w:rPr>
          <w:rFonts w:ascii="Arial Narrow" w:eastAsia="Arial Narrow" w:hAnsi="Arial Narrow" w:cs="Arial Narrow"/>
          <w:i/>
          <w:sz w:val="24"/>
          <w:szCs w:val="24"/>
        </w:rPr>
        <w:t xml:space="preserve">, administrado por la Dirección de Sustitución de Cultivos Ilícitos adscrita a la Agencia de Renovación del Territorio o quien haga sus veces, </w:t>
      </w:r>
      <w:r w:rsidRPr="001835CF">
        <w:rPr>
          <w:rFonts w:ascii="Arial Narrow" w:eastAsia="Arial Narrow" w:hAnsi="Arial Narrow" w:cs="Arial Narrow"/>
          <w:b/>
          <w:i/>
          <w:sz w:val="24"/>
          <w:szCs w:val="24"/>
          <w:u w:val="single"/>
        </w:rPr>
        <w:t>podrán utilizar el cáñamo como producto de sustitución</w:t>
      </w:r>
      <w:r w:rsidRPr="001835CF">
        <w:rPr>
          <w:rFonts w:ascii="Arial Narrow" w:eastAsia="Arial Narrow" w:hAnsi="Arial Narrow" w:cs="Arial Narrow"/>
          <w:i/>
          <w:sz w:val="24"/>
          <w:szCs w:val="24"/>
        </w:rPr>
        <w:t xml:space="preserve">, siempre y cuando acrediten los requisitos que establezcan los Ministerios de Justicia y del Derecho y de Agricultura y Desarrollo Rural para la autorización, contemplados en el artículo 6° de la presente ley. </w:t>
      </w:r>
    </w:p>
    <w:p w14:paraId="13164129"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Parágrafo primero. El Gobierno nacional impulsará la sustitución de cultivos de uso ilícito con el uso del cáñamo a través de sus diferentes programas y proyectos. </w:t>
      </w:r>
    </w:p>
    <w:p w14:paraId="57CE7824"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Parágrafo segundo. El Ministerio de Agricultura y Desarrollo Rural y la Alta Consejería Presidencial para la Estabilización y Consolidación o quien haga sus veces, reglamentarán los planes de seguridad alimentaria que se incluirán en los nuevos modelos de sustitución que determine la Dirección de Sustitución de Cultivos Ilícitos. </w:t>
      </w:r>
    </w:p>
    <w:p w14:paraId="26E3EA66"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Parágrafo tercero. Las personas naturales o jurídicas que hagan parte de cualquier programa de sustitución voluntaria de cultivos de uso ilícito y que utilicen el cáñamo como producto de sustitución, podrán acceder a los siguientes beneficios: </w:t>
      </w:r>
    </w:p>
    <w:p w14:paraId="10A4256C"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u w:val="single"/>
        </w:rPr>
        <w:t>Alivio en las obligaciones financieras y no financieras otorgadas en condiciones Finagro por los intermediarios financieros, así como a las obligaciones agropecuarias y contraídas con proveedores de insumos agropecuarios, asociaciones, agremiaciones y cooperativas, incluyendo alivios con el saneamiento de la cartera de los usuarios de los distritos de adecuación de tierras</w:t>
      </w:r>
      <w:r w:rsidRPr="001835CF">
        <w:rPr>
          <w:rFonts w:ascii="Arial Narrow" w:eastAsia="Arial Narrow" w:hAnsi="Arial Narrow" w:cs="Arial Narrow"/>
          <w:i/>
          <w:sz w:val="24"/>
          <w:szCs w:val="24"/>
        </w:rPr>
        <w:t>.</w:t>
      </w:r>
    </w:p>
    <w:p w14:paraId="043C55F6"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u w:val="single"/>
        </w:rPr>
        <w:t>Acceso a los programas de capacitación especial y aceleración de empresas en condiciones especiales para su formalización, promoción, desarrollo, fortalecimiento, tecnificación y financiamiento empresarial</w:t>
      </w:r>
      <w:r w:rsidRPr="001835CF">
        <w:rPr>
          <w:rFonts w:ascii="Arial Narrow" w:eastAsia="Arial Narrow" w:hAnsi="Arial Narrow" w:cs="Arial Narrow"/>
          <w:i/>
          <w:sz w:val="24"/>
          <w:szCs w:val="24"/>
        </w:rPr>
        <w:t>.</w:t>
      </w:r>
    </w:p>
    <w:p w14:paraId="19BA7AE9" w14:textId="77777777" w:rsidR="0086045B" w:rsidRPr="001835CF" w:rsidRDefault="0086045B" w:rsidP="0086045B">
      <w:pPr>
        <w:ind w:left="708"/>
        <w:jc w:val="both"/>
        <w:rPr>
          <w:rFonts w:ascii="Arial Narrow" w:eastAsia="Arial Narrow" w:hAnsi="Arial Narrow" w:cs="Arial Narrow"/>
          <w:i/>
          <w:sz w:val="24"/>
          <w:szCs w:val="24"/>
          <w:u w:val="single"/>
        </w:rPr>
      </w:pPr>
      <w:r w:rsidRPr="001835CF">
        <w:rPr>
          <w:rFonts w:ascii="Arial Narrow" w:eastAsia="Arial Narrow" w:hAnsi="Arial Narrow" w:cs="Arial Narrow"/>
          <w:i/>
          <w:sz w:val="24"/>
          <w:szCs w:val="24"/>
          <w:u w:val="single"/>
        </w:rPr>
        <w:t>Exoneración de tarifa para actos sin cuantía ante las cámaras de comercio o las entidades competentes para ello, responsables del proceso de registro y renovación.</w:t>
      </w:r>
    </w:p>
    <w:p w14:paraId="220A0D7F"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u w:val="single"/>
        </w:rPr>
        <w:t>Criterios de calificación diferencial en los procesos de contratación estatal, de acuerdo con la normativa vigente</w:t>
      </w:r>
      <w:r w:rsidRPr="001835CF">
        <w:rPr>
          <w:rFonts w:ascii="Arial Narrow" w:eastAsia="Arial Narrow" w:hAnsi="Arial Narrow" w:cs="Arial Narrow"/>
          <w:i/>
          <w:sz w:val="24"/>
          <w:szCs w:val="24"/>
        </w:rPr>
        <w:t>.</w:t>
      </w:r>
    </w:p>
    <w:p w14:paraId="76B4743C" w14:textId="77777777" w:rsidR="00212D7F"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Como se puede observar en este recorrido sobre la evolución legal colombiana, e debate sobre la penalización del consumo de drogas y aún más del cannabis, ha sido ampliamente discutido y ajustado por el Congreso, el Gobierno nacional y la sociedad misma, lo cual se refleja en el en la normatividad y jurisprudencia vigente en Colombia, avanzando hasta </w:t>
      </w:r>
      <w:r w:rsidRPr="001835CF">
        <w:rPr>
          <w:rFonts w:ascii="Arial Narrow" w:eastAsia="Arial Narrow" w:hAnsi="Arial Narrow" w:cs="Arial Narrow"/>
          <w:b/>
          <w:bCs/>
          <w:sz w:val="24"/>
          <w:szCs w:val="24"/>
          <w:u w:val="single"/>
        </w:rPr>
        <w:t xml:space="preserve">permitir el porte y consumo </w:t>
      </w:r>
      <w:r w:rsidRPr="001835CF">
        <w:rPr>
          <w:rFonts w:ascii="Arial Narrow" w:eastAsia="Arial Narrow" w:hAnsi="Arial Narrow" w:cs="Arial Narrow"/>
          <w:sz w:val="24"/>
          <w:szCs w:val="24"/>
        </w:rPr>
        <w:t>de algunas sustancias. A pesar de esto persiste un vacío legal frente a la producción y comercialización segura del cannabis, el cual presiona al usuario al mercado ilegal, exponiéndolo a la inseguridad, vulnerabilidad ante grupos que desde la ilicitud rentan grandes ganancias, lo que también incide en victimización de las personas usuarias cuando adquieren y consumen productos de baja calidad que pueden generar afectaciones a su salud, entre otros aspectos que esta iniciativa busca atender.</w:t>
      </w:r>
    </w:p>
    <w:p w14:paraId="03DC1D5C" w14:textId="77777777" w:rsidR="0086045B" w:rsidRPr="001835CF" w:rsidRDefault="0086045B" w:rsidP="0086045B">
      <w:pPr>
        <w:jc w:val="both"/>
        <w:rPr>
          <w:rFonts w:ascii="Arial Narrow" w:eastAsia="Arial Narrow" w:hAnsi="Arial Narrow" w:cs="Arial Narrow"/>
          <w:sz w:val="24"/>
          <w:szCs w:val="24"/>
        </w:rPr>
      </w:pPr>
    </w:p>
    <w:p w14:paraId="2E5EF3C4" w14:textId="77777777" w:rsidR="0086045B" w:rsidRPr="001835CF" w:rsidRDefault="0086045B" w:rsidP="0086045B">
      <w:pPr>
        <w:pStyle w:val="Prrafodelista"/>
        <w:widowControl w:val="0"/>
        <w:numPr>
          <w:ilvl w:val="0"/>
          <w:numId w:val="17"/>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JUSTIFICACIÓN Y CONTEXTO GENERAL</w:t>
      </w:r>
    </w:p>
    <w:p w14:paraId="0BBA7987" w14:textId="77777777" w:rsidR="0086045B" w:rsidRPr="001835CF" w:rsidRDefault="0086045B" w:rsidP="0086045B">
      <w:pPr>
        <w:numPr>
          <w:ilvl w:val="1"/>
          <w:numId w:val="18"/>
        </w:numPr>
        <w:pBdr>
          <w:top w:val="nil"/>
          <w:left w:val="nil"/>
          <w:bottom w:val="nil"/>
          <w:right w:val="nil"/>
          <w:between w:val="nil"/>
        </w:pBdr>
        <w:spacing w:after="0" w:line="240" w:lineRule="auto"/>
        <w:rPr>
          <w:rFonts w:ascii="Arial Narrow" w:eastAsia="Arial Narrow" w:hAnsi="Arial Narrow" w:cs="Arial Narrow"/>
          <w:b/>
          <w:bCs/>
          <w:color w:val="000000"/>
          <w:sz w:val="24"/>
          <w:szCs w:val="24"/>
        </w:rPr>
      </w:pPr>
      <w:r w:rsidRPr="001835CF">
        <w:rPr>
          <w:rFonts w:ascii="Arial Narrow" w:eastAsia="Arial Narrow" w:hAnsi="Arial Narrow" w:cs="Arial Narrow"/>
          <w:b/>
          <w:bCs/>
          <w:color w:val="000000" w:themeColor="text1"/>
          <w:sz w:val="24"/>
          <w:szCs w:val="24"/>
        </w:rPr>
        <w:t>CONTEXTO DEL CANNABIS NO REGULADO EN COLOMBIA</w:t>
      </w:r>
    </w:p>
    <w:p w14:paraId="0BD4E2EC" w14:textId="77777777" w:rsidR="0086045B" w:rsidRPr="001835CF" w:rsidRDefault="0086045B" w:rsidP="0086045B">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01123807"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Colombia no cuenta con un sistema de monitoreo similar al de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14:paraId="32FC122D"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Los cultivos de cannabis en diversas zonas rurales del país son la base de la economía en varios municipios. Por  ejemplo, en municipios del Norte del Cauca como Caloto, Corinto, Miranda, Toribío, Santander de Quilichao, Jambaló, se concentran el 55% de las alertas luminosas lanzadas por el Sistema Integrado de Monitoreo de Cultivos Ilícitos - SIMCI por presencia de invernaderos para producción de cannabis</w:t>
      </w:r>
      <w:r w:rsidRPr="001835CF">
        <w:rPr>
          <w:rFonts w:ascii="Arial Narrow" w:eastAsia="Arial Narrow" w:hAnsi="Arial Narrow" w:cs="Arial Narrow"/>
          <w:sz w:val="24"/>
          <w:szCs w:val="24"/>
          <w:vertAlign w:val="superscript"/>
        </w:rPr>
        <w:footnoteReference w:id="3"/>
      </w:r>
      <w:r w:rsidRPr="001835CF">
        <w:rPr>
          <w:rFonts w:ascii="Arial Narrow" w:eastAsia="Arial Narrow" w:hAnsi="Arial Narrow" w:cs="Arial Narrow"/>
          <w:sz w:val="24"/>
          <w:szCs w:val="24"/>
        </w:rPr>
        <w:t>.</w:t>
      </w:r>
    </w:p>
    <w:p w14:paraId="0B521395"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Podemos deducir entonces que existe una gran concentración de los cultivos en poblaciones rurales “con dificultades de acceso, conexión, servicios y bienes públicos y con presencia y control de grupos al margen de la ley”</w:t>
      </w:r>
      <w:r w:rsidRPr="001835CF">
        <w:rPr>
          <w:rFonts w:ascii="Arial Narrow" w:eastAsia="Arial Narrow" w:hAnsi="Arial Narrow" w:cs="Arial Narrow"/>
          <w:sz w:val="24"/>
          <w:szCs w:val="24"/>
          <w:vertAlign w:val="superscript"/>
        </w:rPr>
        <w:footnoteReference w:id="4"/>
      </w:r>
    </w:p>
    <w:p w14:paraId="66C5E1D4" w14:textId="77777777" w:rsidR="0086045B" w:rsidRPr="001835CF" w:rsidRDefault="00730BAC"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A partir del 2016 </w:t>
      </w:r>
      <w:r w:rsidR="0086045B" w:rsidRPr="001835CF">
        <w:rPr>
          <w:rFonts w:ascii="Arial Narrow" w:eastAsia="Arial Narrow" w:hAnsi="Arial Narrow" w:cs="Arial Narrow"/>
          <w:sz w:val="24"/>
          <w:szCs w:val="24"/>
        </w:rPr>
        <w:t>con las expectativas a partir de la regulación del cannabis medicinal y la calma que trajo consigo el proceso de paz, aumentó el número de cultivos de cannabis conllevando una mayor oferta y posteriormente los precios de referencia por libra cayeron, lo que motivó a que los cultivadores se agremiaran a nivel de las veredas de municipios del norte de Cauca, para autorregular los precios. “</w:t>
      </w:r>
      <w:r w:rsidR="0086045B" w:rsidRPr="001835CF">
        <w:rPr>
          <w:rFonts w:ascii="Arial Narrow" w:eastAsia="Arial Narrow" w:hAnsi="Arial Narrow" w:cs="Arial Narrow"/>
          <w:i/>
          <w:iCs/>
          <w:sz w:val="24"/>
          <w:szCs w:val="24"/>
        </w:rPr>
        <w:t>Primero se reguló el número de plantas que se pueden cultivar por persona: 500 para uno solo, 1000 en pareja, hasta 250 para jóvenes que estudien. Además, se estableció un precio base de la libra de marihuana (hoy está a $70.000)”</w:t>
      </w:r>
      <w:r w:rsidR="0086045B" w:rsidRPr="001835CF">
        <w:rPr>
          <w:rFonts w:ascii="Arial Narrow" w:eastAsia="Arial Narrow" w:hAnsi="Arial Narrow" w:cs="Arial Narrow"/>
          <w:i/>
          <w:iCs/>
          <w:sz w:val="24"/>
          <w:szCs w:val="24"/>
          <w:vertAlign w:val="superscript"/>
        </w:rPr>
        <w:footnoteReference w:id="5"/>
      </w:r>
      <w:r w:rsidR="0086045B" w:rsidRPr="001835CF">
        <w:rPr>
          <w:rFonts w:ascii="Arial Narrow" w:eastAsia="Arial Narrow" w:hAnsi="Arial Narrow" w:cs="Arial Narrow"/>
          <w:sz w:val="24"/>
          <w:szCs w:val="24"/>
        </w:rPr>
        <w:t xml:space="preserve">  de la cual se podrían sacar hasta 500 dosis de un gramo de un precio que oscila entre 1000 y 2000 pesos. </w:t>
      </w:r>
    </w:p>
    <w:p w14:paraId="50756808"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El boletín de precios construido entre el Ministerio De Justicia y Derecho y la Oficina de las Naciones Unidas contra la Droga y el Delito (UNODC) en el 2021 promedió los valores producto de la información mensual reportada por sus fuentes, determinando una variación de precios entre el 2006 y 2021 conforme trata el grafico 1.</w:t>
      </w:r>
    </w:p>
    <w:p w14:paraId="4324CD2D" w14:textId="77777777" w:rsidR="0086045B" w:rsidRPr="001835CF" w:rsidRDefault="0086045B" w:rsidP="0086045B">
      <w:pPr>
        <w:jc w:val="center"/>
        <w:rPr>
          <w:rFonts w:ascii="Arial Narrow" w:eastAsia="Arial Narrow" w:hAnsi="Arial Narrow" w:cs="Arial Narrow"/>
          <w:b/>
          <w:sz w:val="24"/>
          <w:szCs w:val="24"/>
        </w:rPr>
      </w:pPr>
      <w:r w:rsidRPr="001835CF">
        <w:rPr>
          <w:rFonts w:ascii="Arial Narrow" w:eastAsia="Arial Narrow" w:hAnsi="Arial Narrow" w:cs="Arial Narrow"/>
          <w:b/>
          <w:sz w:val="24"/>
          <w:szCs w:val="24"/>
        </w:rPr>
        <w:t>GRAFICO 1</w:t>
      </w:r>
      <w:r w:rsidRPr="001835CF">
        <w:rPr>
          <w:rFonts w:ascii="Arial Narrow" w:eastAsia="Arial Narrow" w:hAnsi="Arial Narrow" w:cs="Arial Narrow"/>
          <w:b/>
          <w:sz w:val="24"/>
          <w:szCs w:val="24"/>
          <w:vertAlign w:val="superscript"/>
        </w:rPr>
        <w:footnoteReference w:id="6"/>
      </w:r>
    </w:p>
    <w:p w14:paraId="75E0221E" w14:textId="77777777" w:rsidR="0086045B" w:rsidRPr="001835CF" w:rsidRDefault="0086045B" w:rsidP="0086045B">
      <w:pPr>
        <w:jc w:val="center"/>
        <w:rPr>
          <w:rFonts w:ascii="Arial Narrow" w:eastAsia="Arial Narrow" w:hAnsi="Arial Narrow" w:cs="Arial Narrow"/>
          <w:sz w:val="24"/>
          <w:szCs w:val="24"/>
        </w:rPr>
      </w:pPr>
      <w:r w:rsidRPr="001835CF">
        <w:rPr>
          <w:rFonts w:ascii="Arial Narrow" w:eastAsia="Arial Narrow" w:hAnsi="Arial Narrow" w:cs="Arial Narrow"/>
          <w:b/>
          <w:sz w:val="24"/>
          <w:szCs w:val="24"/>
        </w:rPr>
        <w:t>Precios kilogramo de marihuana Total nacional Diciembre (2006– 2021)</w:t>
      </w:r>
    </w:p>
    <w:p w14:paraId="3289D2E2"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    </w:t>
      </w:r>
      <w:r w:rsidRPr="001835CF">
        <w:rPr>
          <w:rFonts w:ascii="Arial Narrow" w:eastAsia="Arial Narrow" w:hAnsi="Arial Narrow" w:cs="Arial Narrow"/>
          <w:noProof/>
          <w:sz w:val="24"/>
          <w:szCs w:val="24"/>
        </w:rPr>
        <w:drawing>
          <wp:inline distT="0" distB="0" distL="0" distR="0" wp14:anchorId="085DBB82" wp14:editId="0EEF13F8">
            <wp:extent cx="5512387" cy="289316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0877" t="29990" r="13048" b="8331"/>
                    <a:stretch>
                      <a:fillRect/>
                    </a:stretch>
                  </pic:blipFill>
                  <pic:spPr>
                    <a:xfrm>
                      <a:off x="0" y="0"/>
                      <a:ext cx="5512387" cy="2893164"/>
                    </a:xfrm>
                    <a:prstGeom prst="rect">
                      <a:avLst/>
                    </a:prstGeom>
                    <a:ln/>
                  </pic:spPr>
                </pic:pic>
              </a:graphicData>
            </a:graphic>
          </wp:inline>
        </w:drawing>
      </w:r>
    </w:p>
    <w:p w14:paraId="6C6BF6D9"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De acuerdo a testimonios de personas que asistieron a una Audiencia pública, convocada por la Comisión Primera de la Cámara de Representantes, el 9 de enero de 2023, en Tacueyó Cauca, El cultivo de esta planta surgió como una alternativa económica a la precariedad de ingresos en las actividades agrícolas. De acuerdo con el DANE, en 2021 el 44.6% de la población rural recibía menos de $354.031 pesos mensuales</w:t>
      </w:r>
      <w:r w:rsidRPr="001835CF">
        <w:rPr>
          <w:rFonts w:ascii="Arial Narrow" w:eastAsia="Arial Narrow" w:hAnsi="Arial Narrow" w:cs="Arial Narrow"/>
          <w:sz w:val="24"/>
          <w:szCs w:val="24"/>
          <w:vertAlign w:val="superscript"/>
        </w:rPr>
        <w:footnoteReference w:id="7"/>
      </w:r>
      <w:r w:rsidRPr="001835CF">
        <w:rPr>
          <w:rFonts w:ascii="Arial Narrow" w:eastAsia="Arial Narrow" w:hAnsi="Arial Narrow" w:cs="Arial Narrow"/>
          <w:sz w:val="24"/>
          <w:szCs w:val="24"/>
        </w:rPr>
        <w:t>.</w:t>
      </w:r>
    </w:p>
    <w:p w14:paraId="04E9DF5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La persistencia del conflicto armado en las zonas que surten el mercado ilegal, las brechas de desarrollo socio-económico en las zonas de producción de esta planta, sus impactos en la población campesina e indígena y el hecho de que la marihuana sea la sustancia ilícita más consumida en el país</w:t>
      </w:r>
      <w:r w:rsidRPr="001835CF">
        <w:rPr>
          <w:rFonts w:ascii="Arial Narrow" w:eastAsia="Arial Narrow" w:hAnsi="Arial Narrow" w:cs="Arial Narrow"/>
          <w:sz w:val="24"/>
          <w:szCs w:val="24"/>
          <w:vertAlign w:val="superscript"/>
        </w:rPr>
        <w:footnoteReference w:id="8"/>
      </w:r>
      <w:r w:rsidRPr="001835CF">
        <w:rPr>
          <w:rFonts w:ascii="Arial Narrow" w:eastAsia="Arial Narrow" w:hAnsi="Arial Narrow" w:cs="Arial Narrow"/>
          <w:sz w:val="24"/>
          <w:szCs w:val="24"/>
          <w:vertAlign w:val="superscript"/>
        </w:rPr>
        <w:t>, son factores que entre otros, inciden en la permanencia de cultivos de cannabis para el abastecimiento del mercado nacional, aun cuando todavía esos cultivos sean ilícitos.</w:t>
      </w:r>
    </w:p>
    <w:p w14:paraId="1B2AC86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Frente al consumo el </w:t>
      </w:r>
      <w:r w:rsidRPr="001835CF">
        <w:rPr>
          <w:rFonts w:ascii="Arial Narrow" w:eastAsia="Arial Narrow" w:hAnsi="Arial Narrow" w:cs="Arial Narrow"/>
          <w:b/>
          <w:bCs/>
          <w:sz w:val="24"/>
          <w:szCs w:val="24"/>
        </w:rPr>
        <w:t xml:space="preserve">8,3% de los colombianos declaró haber consumido cannabis, lo que representó en 2019, </w:t>
      </w:r>
      <w:r w:rsidRPr="001835CF">
        <w:rPr>
          <w:rFonts w:ascii="Arial Narrow" w:eastAsia="Arial Narrow" w:hAnsi="Arial Narrow" w:cs="Arial Narrow"/>
          <w:sz w:val="24"/>
          <w:szCs w:val="24"/>
        </w:rPr>
        <w:t>aproximadamente 4 millones de personas (ver gráfico 2).</w:t>
      </w:r>
    </w:p>
    <w:p w14:paraId="5357EF0A" w14:textId="77777777" w:rsidR="0086045B" w:rsidRPr="001835CF" w:rsidRDefault="0086045B" w:rsidP="0086045B">
      <w:pPr>
        <w:jc w:val="center"/>
        <w:rPr>
          <w:rFonts w:ascii="Arial Narrow" w:eastAsia="Arial Narrow" w:hAnsi="Arial Narrow" w:cs="Arial Narrow"/>
          <w:sz w:val="24"/>
          <w:szCs w:val="24"/>
        </w:rPr>
      </w:pPr>
      <w:r w:rsidRPr="001835CF">
        <w:rPr>
          <w:rFonts w:ascii="Arial Narrow" w:eastAsia="Arial Narrow" w:hAnsi="Arial Narrow" w:cs="Arial Narrow"/>
          <w:b/>
          <w:sz w:val="24"/>
          <w:szCs w:val="24"/>
        </w:rPr>
        <w:t>GRAFICO 2</w:t>
      </w:r>
      <w:r w:rsidRPr="001835CF">
        <w:rPr>
          <w:rFonts w:ascii="Arial Narrow" w:eastAsia="Arial Narrow" w:hAnsi="Arial Narrow" w:cs="Arial Narrow"/>
          <w:sz w:val="24"/>
          <w:szCs w:val="24"/>
        </w:rPr>
        <w:br/>
      </w:r>
      <w:r w:rsidRPr="001835CF">
        <w:rPr>
          <w:rFonts w:ascii="Arial Narrow" w:eastAsia="Arial Narrow" w:hAnsi="Arial Narrow" w:cs="Arial Narrow"/>
          <w:b/>
          <w:color w:val="000000"/>
          <w:sz w:val="24"/>
          <w:szCs w:val="24"/>
        </w:rPr>
        <w:t>Cifras Consumo de en Colombia</w:t>
      </w:r>
      <w:r w:rsidRPr="001835CF">
        <w:rPr>
          <w:rFonts w:ascii="Arial Narrow" w:eastAsia="Arial Narrow" w:hAnsi="Arial Narrow" w:cs="Arial Narrow"/>
          <w:sz w:val="24"/>
          <w:szCs w:val="24"/>
          <w:vertAlign w:val="superscript"/>
        </w:rPr>
        <w:footnoteReference w:id="9"/>
      </w:r>
      <w:r w:rsidRPr="001835CF">
        <w:rPr>
          <w:rFonts w:ascii="Arial Narrow" w:eastAsia="Arial Narrow" w:hAnsi="Arial Narrow" w:cs="Arial Narrow"/>
          <w:noProof/>
          <w:sz w:val="24"/>
          <w:szCs w:val="24"/>
        </w:rPr>
        <w:drawing>
          <wp:inline distT="0" distB="0" distL="0" distR="0" wp14:anchorId="04DDBBDF" wp14:editId="497D19BD">
            <wp:extent cx="5522726" cy="3164413"/>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565" t="30909" r="9999" b="12589"/>
                    <a:stretch>
                      <a:fillRect/>
                    </a:stretch>
                  </pic:blipFill>
                  <pic:spPr>
                    <a:xfrm>
                      <a:off x="0" y="0"/>
                      <a:ext cx="5522726" cy="3164413"/>
                    </a:xfrm>
                    <a:prstGeom prst="rect">
                      <a:avLst/>
                    </a:prstGeom>
                    <a:ln/>
                  </pic:spPr>
                </pic:pic>
              </a:graphicData>
            </a:graphic>
          </wp:inline>
        </w:drawing>
      </w:r>
    </w:p>
    <w:p w14:paraId="6F7A2C9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b/>
          <w:bCs/>
          <w:sz w:val="24"/>
          <w:szCs w:val="24"/>
        </w:rPr>
        <w:t>Estudios presentados por la Alcaldía de Bogotá</w:t>
      </w:r>
      <w:r w:rsidRPr="001835CF">
        <w:rPr>
          <w:rFonts w:ascii="Arial Narrow" w:eastAsia="Arial Narrow" w:hAnsi="Arial Narrow" w:cs="Arial Narrow"/>
          <w:sz w:val="24"/>
          <w:szCs w:val="24"/>
        </w:rPr>
        <w:t xml:space="preserve"> en el 2021 revelaron que los consumidores de Cannabis en la capital del país son, en su mayoría gente </w:t>
      </w:r>
      <w:r w:rsidRPr="001835CF">
        <w:rPr>
          <w:rFonts w:ascii="Arial Narrow" w:eastAsia="Arial Narrow" w:hAnsi="Arial Narrow" w:cs="Arial Narrow"/>
          <w:b/>
          <w:bCs/>
          <w:sz w:val="24"/>
          <w:szCs w:val="24"/>
        </w:rPr>
        <w:t>soltera, profesional, trabajadora, universitaria y que aporta al sistema de salud</w:t>
      </w:r>
      <w:r w:rsidRPr="001835CF">
        <w:rPr>
          <w:rFonts w:ascii="Arial Narrow" w:eastAsia="Arial Narrow" w:hAnsi="Arial Narrow" w:cs="Arial Narrow"/>
          <w:b/>
          <w:bCs/>
          <w:sz w:val="24"/>
          <w:szCs w:val="24"/>
          <w:vertAlign w:val="superscript"/>
        </w:rPr>
        <w:footnoteReference w:id="10"/>
      </w:r>
      <w:r w:rsidRPr="001835CF">
        <w:rPr>
          <w:rFonts w:ascii="Arial Narrow" w:eastAsia="Arial Narrow" w:hAnsi="Arial Narrow" w:cs="Arial Narrow"/>
          <w:b/>
          <w:bCs/>
          <w:sz w:val="24"/>
          <w:szCs w:val="24"/>
        </w:rPr>
        <w:t xml:space="preserve">. </w:t>
      </w:r>
    </w:p>
    <w:p w14:paraId="3D0EAF5F"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La encuesta reveló que el </w:t>
      </w:r>
      <w:r w:rsidRPr="001835CF">
        <w:rPr>
          <w:rFonts w:ascii="Arial Narrow" w:eastAsia="Arial Narrow" w:hAnsi="Arial Narrow" w:cs="Arial Narrow"/>
          <w:b/>
          <w:bCs/>
          <w:sz w:val="24"/>
          <w:szCs w:val="24"/>
        </w:rPr>
        <w:t>58 % consume con fin recreativo, el 20 % con fines medicinales, el 16 % con fines espirituales y el 6 % sin ningún fin</w:t>
      </w:r>
      <w:r w:rsidRPr="001835CF">
        <w:rPr>
          <w:rFonts w:ascii="Arial Narrow" w:eastAsia="Arial Narrow" w:hAnsi="Arial Narrow" w:cs="Arial Narrow"/>
          <w:sz w:val="24"/>
          <w:szCs w:val="24"/>
        </w:rPr>
        <w:t xml:space="preserve">. </w:t>
      </w:r>
    </w:p>
    <w:p w14:paraId="776AA0A8"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El análisis también determinó que el mercado ilegal ocupa cerca del 50 % del total de la adquisición, el otro </w:t>
      </w:r>
      <w:r w:rsidRPr="001835CF">
        <w:rPr>
          <w:rFonts w:ascii="Arial Narrow" w:eastAsia="Arial Narrow" w:hAnsi="Arial Narrow" w:cs="Arial Narrow"/>
          <w:b/>
          <w:sz w:val="24"/>
          <w:szCs w:val="24"/>
        </w:rPr>
        <w:t>50 % se divide en partes iguales entre autocultivo individual, autocultivo colectivo y obsequios.</w:t>
      </w:r>
    </w:p>
    <w:p w14:paraId="50A2425E"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Se encontró que el espacio privado es el más usado para el consumo (40,1 % uso recreativo o adulto), y el espacio público el menos usado (6,1 % uso recreativo o adulto). </w:t>
      </w:r>
    </w:p>
    <w:p w14:paraId="7BD8FB5E"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 xml:space="preserve"> El 3,5 % de las personas usa el cannabis como sustituto o paliativo </w:t>
      </w:r>
      <w:r w:rsidRPr="001835CF">
        <w:rPr>
          <w:rFonts w:ascii="Arial Narrow" w:eastAsia="Arial Narrow" w:hAnsi="Arial Narrow" w:cs="Arial Narrow"/>
          <w:sz w:val="24"/>
          <w:szCs w:val="24"/>
        </w:rPr>
        <w:t xml:space="preserve">del síndrome de abstinencia de otra dependencia, siendo también </w:t>
      </w:r>
      <w:r w:rsidRPr="001835CF">
        <w:rPr>
          <w:rFonts w:ascii="Arial Narrow" w:eastAsia="Arial Narrow" w:hAnsi="Arial Narrow" w:cs="Arial Narrow"/>
          <w:b/>
          <w:sz w:val="24"/>
          <w:szCs w:val="24"/>
        </w:rPr>
        <w:t>una sustancia de salida.</w:t>
      </w:r>
    </w:p>
    <w:p w14:paraId="4E304294" w14:textId="77777777" w:rsidR="0086045B" w:rsidRPr="001835CF" w:rsidRDefault="0086045B" w:rsidP="0086045B">
      <w:pPr>
        <w:rPr>
          <w:rFonts w:ascii="Arial Narrow" w:eastAsia="Arial Narrow" w:hAnsi="Arial Narrow" w:cs="Arial Narrow"/>
          <w:b/>
          <w:bCs/>
          <w:sz w:val="24"/>
          <w:szCs w:val="24"/>
        </w:rPr>
      </w:pPr>
      <w:r w:rsidRPr="001835CF">
        <w:rPr>
          <w:rFonts w:ascii="Arial Narrow" w:eastAsia="Arial Narrow" w:hAnsi="Arial Narrow" w:cs="Arial Narrow"/>
          <w:b/>
          <w:bCs/>
          <w:sz w:val="24"/>
          <w:szCs w:val="24"/>
        </w:rPr>
        <w:t>Criminalización asociada de personas.</w:t>
      </w:r>
    </w:p>
    <w:p w14:paraId="2C77044E" w14:textId="77777777" w:rsidR="0086045B" w:rsidRPr="001835CF" w:rsidRDefault="0086045B" w:rsidP="0086045B">
      <w:pPr>
        <w:jc w:val="both"/>
        <w:rPr>
          <w:rFonts w:ascii="Arial Narrow" w:eastAsia="Arial Narrow" w:hAnsi="Arial Narrow" w:cs="Arial Narrow"/>
          <w:i/>
          <w:sz w:val="24"/>
          <w:szCs w:val="24"/>
        </w:rPr>
      </w:pPr>
      <w:r w:rsidRPr="001835CF">
        <w:rPr>
          <w:rFonts w:ascii="Arial Narrow" w:eastAsia="Arial Narrow" w:hAnsi="Arial Narrow" w:cs="Arial Narrow"/>
          <w:sz w:val="24"/>
          <w:szCs w:val="24"/>
        </w:rPr>
        <w:t xml:space="preserve">La prohibición no ha logrado disminuir los niveles de consumo y por el contrario ha profundizado el aislamiento de algunas zonas del país y la criminalización del usuario, mientras los grandes eslabones de la cadena gozan de impunidad. </w:t>
      </w:r>
      <w:r w:rsidRPr="001835CF">
        <w:rPr>
          <w:rFonts w:ascii="Arial Narrow" w:eastAsia="Arial Narrow" w:hAnsi="Arial Narrow" w:cs="Arial Narrow"/>
          <w:i/>
          <w:sz w:val="24"/>
          <w:szCs w:val="24"/>
        </w:rPr>
        <w:t>Gran parte de las personas capturadas por delitos asociados a drogas ilícitas corresponden a delitos menores y porte de sustancias en pequeñas cantidades.</w:t>
      </w:r>
    </w:p>
    <w:p w14:paraId="6CECE453" w14:textId="77777777" w:rsidR="0086045B" w:rsidRPr="001835CF" w:rsidRDefault="0086045B" w:rsidP="0086045B">
      <w:pPr>
        <w:numPr>
          <w:ilvl w:val="0"/>
          <w:numId w:val="19"/>
        </w:numPr>
        <w:spacing w:after="200" w:line="276" w:lineRule="auto"/>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Se ha estimado que la captura de personas por el porte, tráfico y fabricación de drogas ilícitas </w:t>
      </w:r>
      <w:r w:rsidRPr="001835CF">
        <w:rPr>
          <w:rFonts w:ascii="Arial Narrow" w:eastAsia="Arial Narrow" w:hAnsi="Arial Narrow" w:cs="Arial Narrow"/>
          <w:b/>
          <w:i/>
          <w:sz w:val="24"/>
          <w:szCs w:val="24"/>
        </w:rPr>
        <w:t>costó alrededor de 11 billones de pesos en quince años.</w:t>
      </w:r>
    </w:p>
    <w:p w14:paraId="570022A3" w14:textId="77777777" w:rsidR="0086045B" w:rsidRPr="001835CF" w:rsidRDefault="0086045B" w:rsidP="0086045B">
      <w:pPr>
        <w:numPr>
          <w:ilvl w:val="0"/>
          <w:numId w:val="19"/>
        </w:numPr>
        <w:spacing w:after="200" w:line="276" w:lineRule="auto"/>
        <w:jc w:val="both"/>
        <w:rPr>
          <w:rFonts w:ascii="Arial Narrow" w:eastAsia="Arial Narrow" w:hAnsi="Arial Narrow" w:cs="Arial Narrow"/>
          <w:i/>
          <w:iCs/>
          <w:sz w:val="24"/>
          <w:szCs w:val="24"/>
        </w:rPr>
      </w:pPr>
      <w:r w:rsidRPr="001835CF">
        <w:rPr>
          <w:rFonts w:ascii="Arial Narrow" w:eastAsia="Arial Narrow" w:hAnsi="Arial Narrow" w:cs="Arial Narrow"/>
          <w:b/>
          <w:bCs/>
          <w:i/>
          <w:iCs/>
          <w:sz w:val="24"/>
          <w:szCs w:val="24"/>
        </w:rPr>
        <w:t xml:space="preserve">1 de cada 3 </w:t>
      </w:r>
      <w:r w:rsidRPr="001835CF">
        <w:rPr>
          <w:rFonts w:ascii="Arial Narrow" w:eastAsia="Arial Narrow" w:hAnsi="Arial Narrow" w:cs="Arial Narrow"/>
          <w:i/>
          <w:iCs/>
          <w:sz w:val="24"/>
          <w:szCs w:val="24"/>
        </w:rPr>
        <w:t>capturas fue</w:t>
      </w:r>
      <w:r w:rsidR="00730BAC" w:rsidRPr="001835CF">
        <w:rPr>
          <w:rFonts w:ascii="Arial Narrow" w:eastAsia="Arial Narrow" w:hAnsi="Arial Narrow" w:cs="Arial Narrow"/>
          <w:i/>
          <w:iCs/>
          <w:sz w:val="24"/>
          <w:szCs w:val="24"/>
        </w:rPr>
        <w:t xml:space="preserve"> </w:t>
      </w:r>
      <w:r w:rsidRPr="001835CF">
        <w:rPr>
          <w:rFonts w:ascii="Arial Narrow" w:eastAsia="Arial Narrow" w:hAnsi="Arial Narrow" w:cs="Arial Narrow"/>
          <w:i/>
          <w:iCs/>
          <w:sz w:val="24"/>
          <w:szCs w:val="24"/>
        </w:rPr>
        <w:t>de personas con menos de 25 gramos de sustancias ilícitas.</w:t>
      </w:r>
    </w:p>
    <w:p w14:paraId="3B3DA301" w14:textId="77777777" w:rsidR="0086045B" w:rsidRPr="001835CF" w:rsidRDefault="0086045B" w:rsidP="0086045B">
      <w:pPr>
        <w:numPr>
          <w:ilvl w:val="0"/>
          <w:numId w:val="19"/>
        </w:numPr>
        <w:spacing w:after="200" w:line="276" w:lineRule="auto"/>
        <w:jc w:val="both"/>
        <w:rPr>
          <w:rFonts w:ascii="Arial Narrow" w:eastAsia="Arial Narrow" w:hAnsi="Arial Narrow" w:cs="Arial Narrow"/>
          <w:i/>
          <w:iCs/>
          <w:sz w:val="24"/>
          <w:szCs w:val="24"/>
        </w:rPr>
      </w:pPr>
      <w:r w:rsidRPr="001835CF">
        <w:rPr>
          <w:rFonts w:ascii="Arial Narrow" w:eastAsia="Arial Narrow" w:hAnsi="Arial Narrow" w:cs="Arial Narrow"/>
          <w:i/>
          <w:iCs/>
          <w:sz w:val="24"/>
          <w:szCs w:val="24"/>
        </w:rPr>
        <w:t xml:space="preserve">La Población carcelaria de mujeres ha aumentado considerablemente, </w:t>
      </w:r>
      <w:r w:rsidRPr="001835CF">
        <w:rPr>
          <w:rFonts w:ascii="Arial Narrow" w:eastAsia="Arial Narrow" w:hAnsi="Arial Narrow" w:cs="Arial Narrow"/>
          <w:b/>
          <w:bCs/>
          <w:i/>
          <w:iCs/>
          <w:sz w:val="24"/>
          <w:szCs w:val="24"/>
        </w:rPr>
        <w:t>1 de cada 2 mujeres privada</w:t>
      </w:r>
      <w:r w:rsidRPr="001835CF">
        <w:rPr>
          <w:rFonts w:ascii="Arial Narrow" w:eastAsia="Arial Narrow" w:hAnsi="Arial Narrow" w:cs="Arial Narrow"/>
          <w:i/>
          <w:iCs/>
          <w:sz w:val="24"/>
          <w:szCs w:val="24"/>
        </w:rPr>
        <w:t xml:space="preserve">s de la libertad corresponde a delitos </w:t>
      </w:r>
      <w:r w:rsidRPr="001835CF">
        <w:rPr>
          <w:rFonts w:ascii="Arial Narrow" w:eastAsia="Arial Narrow" w:hAnsi="Arial Narrow" w:cs="Arial Narrow"/>
          <w:b/>
          <w:bCs/>
          <w:i/>
          <w:iCs/>
          <w:sz w:val="24"/>
          <w:szCs w:val="24"/>
        </w:rPr>
        <w:t>relacionados con drogas ilícitas</w:t>
      </w:r>
      <w:r w:rsidRPr="001835CF">
        <w:rPr>
          <w:rFonts w:ascii="Arial Narrow" w:eastAsia="Arial Narrow" w:hAnsi="Arial Narrow" w:cs="Arial Narrow"/>
          <w:i/>
          <w:iCs/>
          <w:sz w:val="24"/>
          <w:szCs w:val="24"/>
        </w:rPr>
        <w:t>. De la población carcelaria femenina 52 % son madres cabeza de hogar</w:t>
      </w:r>
      <w:r w:rsidRPr="001835CF">
        <w:rPr>
          <w:rFonts w:ascii="Arial Narrow" w:eastAsia="Arial Narrow" w:hAnsi="Arial Narrow" w:cs="Arial Narrow"/>
          <w:i/>
          <w:iCs/>
          <w:sz w:val="24"/>
          <w:szCs w:val="24"/>
          <w:vertAlign w:val="superscript"/>
        </w:rPr>
        <w:footnoteReference w:id="11"/>
      </w:r>
      <w:r w:rsidRPr="001835CF">
        <w:rPr>
          <w:rFonts w:ascii="Arial Narrow" w:eastAsia="Arial Narrow" w:hAnsi="Arial Narrow" w:cs="Arial Narrow"/>
          <w:i/>
          <w:iCs/>
          <w:sz w:val="24"/>
          <w:szCs w:val="24"/>
        </w:rPr>
        <w:t xml:space="preserve"> </w:t>
      </w:r>
    </w:p>
    <w:p w14:paraId="46A32465" w14:textId="77777777" w:rsidR="0086045B" w:rsidRPr="001835CF" w:rsidRDefault="0086045B" w:rsidP="0086045B">
      <w:pPr>
        <w:spacing w:before="280"/>
        <w:jc w:val="both"/>
        <w:rPr>
          <w:rFonts w:ascii="Arial Narrow" w:eastAsia="Arial Narrow" w:hAnsi="Arial Narrow" w:cs="Arial Narrow"/>
          <w:b/>
          <w:bCs/>
          <w:sz w:val="24"/>
          <w:szCs w:val="24"/>
        </w:rPr>
      </w:pPr>
      <w:r w:rsidRPr="001835CF">
        <w:rPr>
          <w:rFonts w:ascii="Arial Narrow" w:eastAsia="Arial Narrow" w:hAnsi="Arial Narrow" w:cs="Arial Narrow"/>
          <w:b/>
          <w:bCs/>
          <w:sz w:val="24"/>
          <w:szCs w:val="24"/>
        </w:rPr>
        <w:t>Riesgos a la Salud del Cannabis no Regulado</w:t>
      </w:r>
    </w:p>
    <w:p w14:paraId="7BB81805" w14:textId="77777777" w:rsidR="0086045B" w:rsidRPr="001835CF" w:rsidRDefault="0086045B" w:rsidP="0086045B">
      <w:pPr>
        <w:spacing w:before="280"/>
        <w:jc w:val="both"/>
        <w:rPr>
          <w:rFonts w:ascii="Arial Narrow" w:eastAsia="Arial Narrow" w:hAnsi="Arial Narrow" w:cs="Arial Narrow"/>
          <w:sz w:val="24"/>
          <w:szCs w:val="24"/>
        </w:rPr>
      </w:pPr>
      <w:r w:rsidRPr="001835CF">
        <w:rPr>
          <w:rFonts w:ascii="Arial Narrow" w:eastAsia="Arial Narrow" w:hAnsi="Arial Narrow" w:cs="Arial Narrow"/>
          <w:sz w:val="24"/>
          <w:szCs w:val="24"/>
        </w:rPr>
        <w:t>Durante el cultivo, el transporte, el almacenamiento y envasado del cannabis no regulado, las plantas pueden estar expuestas a diversos tipos de contaminantes químicos y microbiológicos que suponen un serio riesgo para la salud de los usuarios</w:t>
      </w:r>
      <w:r w:rsidRPr="001835CF">
        <w:rPr>
          <w:rFonts w:ascii="Arial Narrow" w:eastAsia="Arial Narrow" w:hAnsi="Arial Narrow" w:cs="Arial Narrow"/>
          <w:sz w:val="24"/>
          <w:szCs w:val="24"/>
          <w:vertAlign w:val="superscript"/>
        </w:rPr>
        <w:footnoteReference w:id="12"/>
      </w:r>
      <w:r w:rsidRPr="001835CF">
        <w:rPr>
          <w:rFonts w:ascii="Arial Narrow" w:eastAsia="Arial Narrow" w:hAnsi="Arial Narrow" w:cs="Arial Narrow"/>
          <w:sz w:val="24"/>
          <w:szCs w:val="24"/>
        </w:rPr>
        <w:t>. Entre los principales contaminantes que pueden poner en peligro la salud humana están:</w:t>
      </w:r>
    </w:p>
    <w:p w14:paraId="607E7625" w14:textId="77777777" w:rsidR="0086045B" w:rsidRPr="001835CF" w:rsidRDefault="0086045B" w:rsidP="0086045B">
      <w:pPr>
        <w:numPr>
          <w:ilvl w:val="0"/>
          <w:numId w:val="20"/>
        </w:numPr>
        <w:spacing w:before="280"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b/>
          <w:bCs/>
          <w:sz w:val="24"/>
          <w:szCs w:val="24"/>
        </w:rPr>
        <w:t>El plomo, el cadmio, el mercurio, el cromo, el arsénico.</w:t>
      </w:r>
    </w:p>
    <w:p w14:paraId="6E874CDE" w14:textId="77777777" w:rsidR="0086045B" w:rsidRPr="001835CF" w:rsidRDefault="0086045B" w:rsidP="0086045B">
      <w:pPr>
        <w:numPr>
          <w:ilvl w:val="0"/>
          <w:numId w:val="20"/>
        </w:numPr>
        <w:spacing w:before="280"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Toxinas biológicas </w:t>
      </w:r>
      <w:r w:rsidRPr="001835CF">
        <w:rPr>
          <w:rFonts w:ascii="Arial Narrow" w:eastAsia="Arial Narrow" w:hAnsi="Arial Narrow" w:cs="Arial Narrow"/>
          <w:b/>
          <w:sz w:val="24"/>
          <w:szCs w:val="24"/>
        </w:rPr>
        <w:t>(hongos y bacterias)</w:t>
      </w:r>
    </w:p>
    <w:p w14:paraId="579CE246" w14:textId="77777777" w:rsidR="0086045B" w:rsidRPr="001835CF" w:rsidRDefault="0086045B" w:rsidP="0086045B">
      <w:pPr>
        <w:numPr>
          <w:ilvl w:val="0"/>
          <w:numId w:val="20"/>
        </w:numPr>
        <w:spacing w:before="280"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Residuos de pesticidas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6045B" w:rsidRPr="006952A9" w14:paraId="42CCB77E" w14:textId="77777777" w:rsidTr="0086045B">
        <w:tc>
          <w:tcPr>
            <w:tcW w:w="4414" w:type="dxa"/>
            <w:shd w:val="clear" w:color="auto" w:fill="D9D9D9" w:themeFill="background1" w:themeFillShade="D9"/>
          </w:tcPr>
          <w:p w14:paraId="38A17A90"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Plomo</w:t>
            </w:r>
          </w:p>
        </w:tc>
        <w:tc>
          <w:tcPr>
            <w:tcW w:w="4414" w:type="dxa"/>
            <w:shd w:val="clear" w:color="auto" w:fill="D9D9D9" w:themeFill="background1" w:themeFillShade="D9"/>
          </w:tcPr>
          <w:p w14:paraId="25E7A5B4"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Cadmio</w:t>
            </w:r>
          </w:p>
        </w:tc>
      </w:tr>
      <w:tr w:rsidR="0086045B" w:rsidRPr="006952A9" w14:paraId="6D6EE648" w14:textId="77777777" w:rsidTr="0086045B">
        <w:tc>
          <w:tcPr>
            <w:tcW w:w="4414" w:type="dxa"/>
          </w:tcPr>
          <w:p w14:paraId="42A83317" w14:textId="77777777" w:rsidR="0086045B" w:rsidRPr="006952A9" w:rsidRDefault="0086045B" w:rsidP="0086045B">
            <w:pPr>
              <w:jc w:val="both"/>
              <w:rPr>
                <w:rFonts w:ascii="Arial Narrow" w:eastAsia="Arial Narrow" w:hAnsi="Arial Narrow" w:cs="Arial Narrow"/>
                <w:b/>
                <w:bCs/>
              </w:rPr>
            </w:pPr>
            <w:r w:rsidRPr="18CE227D">
              <w:rPr>
                <w:rFonts w:ascii="Arial Narrow" w:eastAsia="Arial Narrow" w:hAnsi="Arial Narrow" w:cs="Arial Narrow"/>
              </w:rPr>
              <w:t xml:space="preserve">Todas las personas, pero especialmente los </w:t>
            </w:r>
            <w:r w:rsidRPr="18CE227D">
              <w:rPr>
                <w:rFonts w:ascii="Arial Narrow" w:eastAsia="Arial Narrow" w:hAnsi="Arial Narrow" w:cs="Arial Narrow"/>
                <w:b/>
                <w:bCs/>
              </w:rPr>
              <w:t>niños son  vulnerables</w:t>
            </w:r>
            <w:r w:rsidRPr="18CE227D">
              <w:rPr>
                <w:rFonts w:ascii="Arial Narrow" w:eastAsia="Arial Narrow" w:hAnsi="Arial Narrow" w:cs="Arial Narrow"/>
              </w:rPr>
              <w:t xml:space="preserve"> a los efectos tóxicos del plomo, llegan a absorber una cantidad de plomo entre 4 y 5 veces mayor que los adultos que puede tener consecuencias graves y permanentes en su salud, </w:t>
            </w:r>
            <w:r w:rsidRPr="18CE227D">
              <w:rPr>
                <w:rFonts w:ascii="Arial Narrow" w:eastAsia="Arial Narrow" w:hAnsi="Arial Narrow" w:cs="Arial Narrow"/>
                <w:b/>
                <w:bCs/>
              </w:rPr>
              <w:t>afectando en particular al desarrollo del cerebro y del sistema nervioso</w:t>
            </w:r>
            <w:r w:rsidRPr="18CE227D">
              <w:rPr>
                <w:rFonts w:ascii="Arial Narrow" w:eastAsia="Arial Narrow" w:hAnsi="Arial Narrow" w:cs="Arial Narrow"/>
              </w:rPr>
              <w:t>.</w:t>
            </w:r>
          </w:p>
        </w:tc>
        <w:tc>
          <w:tcPr>
            <w:tcW w:w="4414" w:type="dxa"/>
          </w:tcPr>
          <w:p w14:paraId="49BCDCC9" w14:textId="77777777" w:rsidR="0086045B" w:rsidRPr="006952A9" w:rsidRDefault="0086045B" w:rsidP="0086045B">
            <w:pPr>
              <w:jc w:val="both"/>
              <w:rPr>
                <w:rFonts w:ascii="Arial Narrow" w:eastAsia="Arial Narrow" w:hAnsi="Arial Narrow" w:cs="Arial Narrow"/>
                <w:b/>
                <w:bCs/>
              </w:rPr>
            </w:pPr>
            <w:r w:rsidRPr="18CE227D">
              <w:rPr>
                <w:rFonts w:ascii="Arial Narrow" w:eastAsia="Arial Narrow" w:hAnsi="Arial Narrow" w:cs="Arial Narrow"/>
              </w:rPr>
              <w:t>Fumar aumenta considerablemente la concentración de cadmio en el ambiente, sobre todo en espacios cerrados. De manera natural, la flor de cannabis acumula altas concentraciones</w:t>
            </w:r>
            <w:r w:rsidRPr="18CE227D">
              <w:rPr>
                <w:rFonts w:ascii="Arial Narrow" w:eastAsia="Arial Narrow" w:hAnsi="Arial Narrow" w:cs="Arial Narrow"/>
                <w:b/>
                <w:bCs/>
              </w:rPr>
              <w:t>.  La exposición al cadmio por fumar puede ser una preocupación más seria para la salud que la causada por los alimento</w:t>
            </w:r>
            <w:r w:rsidRPr="18CE227D">
              <w:rPr>
                <w:rFonts w:ascii="Arial Narrow" w:eastAsia="Arial Narrow" w:hAnsi="Arial Narrow" w:cs="Arial Narrow"/>
              </w:rPr>
              <w:t>s.</w:t>
            </w:r>
          </w:p>
        </w:tc>
      </w:tr>
      <w:tr w:rsidR="0086045B" w:rsidRPr="006952A9" w14:paraId="4C24679F" w14:textId="77777777" w:rsidTr="0086045B">
        <w:tc>
          <w:tcPr>
            <w:tcW w:w="4414" w:type="dxa"/>
            <w:shd w:val="clear" w:color="auto" w:fill="D9D9D9" w:themeFill="background1" w:themeFillShade="D9"/>
          </w:tcPr>
          <w:p w14:paraId="52853B23"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Mercurio</w:t>
            </w:r>
          </w:p>
        </w:tc>
        <w:tc>
          <w:tcPr>
            <w:tcW w:w="4414" w:type="dxa"/>
            <w:shd w:val="clear" w:color="auto" w:fill="D9D9D9" w:themeFill="background1" w:themeFillShade="D9"/>
          </w:tcPr>
          <w:p w14:paraId="5C3A859B"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Cromo</w:t>
            </w:r>
          </w:p>
        </w:tc>
      </w:tr>
      <w:tr w:rsidR="0086045B" w:rsidRPr="006952A9" w14:paraId="55113C08" w14:textId="77777777" w:rsidTr="0086045B">
        <w:tc>
          <w:tcPr>
            <w:tcW w:w="4414" w:type="dxa"/>
          </w:tcPr>
          <w:p w14:paraId="2BA81036" w14:textId="77777777" w:rsidR="0086045B" w:rsidRPr="006952A9" w:rsidRDefault="0086045B" w:rsidP="0086045B">
            <w:pPr>
              <w:rPr>
                <w:rFonts w:ascii="Arial Narrow" w:eastAsia="Arial Narrow" w:hAnsi="Arial Narrow" w:cs="Arial Narrow"/>
                <w:b/>
              </w:rPr>
            </w:pPr>
            <w:r w:rsidRPr="006952A9">
              <w:rPr>
                <w:rFonts w:ascii="Arial Narrow" w:eastAsia="Arial Narrow" w:hAnsi="Arial Narrow" w:cs="Arial Narrow"/>
                <w:b/>
              </w:rPr>
              <w:t>Tras la inhalación o ingestión</w:t>
            </w:r>
            <w:r w:rsidRPr="006952A9">
              <w:rPr>
                <w:rFonts w:ascii="Arial Narrow" w:eastAsia="Arial Narrow" w:hAnsi="Arial Narrow" w:cs="Arial Narrow"/>
              </w:rPr>
              <w:t xml:space="preserve"> de distintos compuestos de mercurio se pueden observar trastornos neurológicos y del comportamiento, con </w:t>
            </w:r>
            <w:r w:rsidRPr="006952A9">
              <w:rPr>
                <w:rFonts w:ascii="Arial Narrow" w:eastAsia="Arial Narrow" w:hAnsi="Arial Narrow" w:cs="Arial Narrow"/>
                <w:b/>
              </w:rPr>
              <w:t>síntomas como temblores, insomnio, pérdida de memoria, efectos neuromusculares, cefalea o disfunciones cognitivas y motoras</w:t>
            </w:r>
            <w:r w:rsidRPr="006952A9">
              <w:rPr>
                <w:rFonts w:ascii="Arial Narrow" w:eastAsia="Arial Narrow" w:hAnsi="Arial Narrow" w:cs="Arial Narrow"/>
              </w:rPr>
              <w:t>.</w:t>
            </w:r>
          </w:p>
        </w:tc>
        <w:tc>
          <w:tcPr>
            <w:tcW w:w="4414" w:type="dxa"/>
          </w:tcPr>
          <w:p w14:paraId="6982AC19" w14:textId="77777777" w:rsidR="0086045B" w:rsidRPr="006952A9" w:rsidRDefault="0086045B" w:rsidP="0086045B">
            <w:pPr>
              <w:rPr>
                <w:rFonts w:ascii="Arial Narrow" w:eastAsia="Arial Narrow" w:hAnsi="Arial Narrow" w:cs="Arial Narrow"/>
                <w:b/>
              </w:rPr>
            </w:pPr>
            <w:r w:rsidRPr="006952A9">
              <w:rPr>
                <w:rFonts w:ascii="Arial Narrow" w:eastAsia="Arial Narrow" w:hAnsi="Arial Narrow" w:cs="Arial Narrow"/>
              </w:rPr>
              <w:t xml:space="preserve">El problema de salud más común que ocurre en humanos expuestos al cromo involucra a las vías respiratorias como: irritación del revestimiento del interior de la nariz, secreción nasal, y </w:t>
            </w:r>
            <w:r w:rsidRPr="006952A9">
              <w:rPr>
                <w:rFonts w:ascii="Arial Narrow" w:eastAsia="Arial Narrow" w:hAnsi="Arial Narrow" w:cs="Arial Narrow"/>
                <w:b/>
              </w:rPr>
              <w:t>problemas para respirar (asma, tos, falta de aliento, respiración jadeante</w:t>
            </w:r>
            <w:r w:rsidRPr="006952A9">
              <w:rPr>
                <w:rFonts w:ascii="Arial Narrow" w:eastAsia="Arial Narrow" w:hAnsi="Arial Narrow" w:cs="Arial Narrow"/>
              </w:rPr>
              <w:t>). También se desarrollan alergias a compuestos de cromo, lo que puede producir dificultad para respirar y salpullido en la piel.</w:t>
            </w:r>
          </w:p>
        </w:tc>
      </w:tr>
    </w:tbl>
    <w:p w14:paraId="1138EFE7" w14:textId="77777777" w:rsidR="0086045B" w:rsidRPr="006952A9" w:rsidRDefault="0086045B" w:rsidP="0086045B">
      <w:pPr>
        <w:rPr>
          <w:rFonts w:ascii="Arial Narrow" w:eastAsia="Arial Narrow" w:hAnsi="Arial Narrow" w:cs="Arial Narrow"/>
          <w:b/>
          <w:sz w:val="24"/>
          <w:szCs w:val="24"/>
        </w:rPr>
      </w:pPr>
    </w:p>
    <w:p w14:paraId="50582119" w14:textId="77777777" w:rsidR="0086045B" w:rsidRPr="006952A9" w:rsidRDefault="0086045B" w:rsidP="0086045B">
      <w:pPr>
        <w:numPr>
          <w:ilvl w:val="1"/>
          <w:numId w:val="18"/>
        </w:numPr>
        <w:pBdr>
          <w:top w:val="nil"/>
          <w:left w:val="nil"/>
          <w:bottom w:val="nil"/>
          <w:right w:val="nil"/>
          <w:between w:val="nil"/>
        </w:pBdr>
        <w:spacing w:after="0" w:line="240" w:lineRule="auto"/>
        <w:rPr>
          <w:rFonts w:ascii="Arial Narrow" w:eastAsia="Arial Narrow" w:hAnsi="Arial Narrow" w:cs="Arial Narrow"/>
          <w:b/>
          <w:bCs/>
          <w:color w:val="000000"/>
          <w:sz w:val="24"/>
          <w:szCs w:val="24"/>
        </w:rPr>
      </w:pPr>
      <w:r w:rsidRPr="18CE227D">
        <w:rPr>
          <w:rFonts w:ascii="Arial Narrow" w:eastAsia="Arial Narrow" w:hAnsi="Arial Narrow" w:cs="Arial Narrow"/>
          <w:b/>
          <w:bCs/>
          <w:color w:val="000000" w:themeColor="text1"/>
          <w:sz w:val="24"/>
          <w:szCs w:val="24"/>
        </w:rPr>
        <w:t xml:space="preserve"> CONTEXTO INTERNACIONAL</w:t>
      </w:r>
    </w:p>
    <w:p w14:paraId="5FFA8E0D"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b/>
          <w:bCs/>
          <w:color w:val="000000" w:themeColor="text1"/>
          <w:sz w:val="24"/>
          <w:szCs w:val="24"/>
        </w:rPr>
      </w:pPr>
    </w:p>
    <w:p w14:paraId="2A287DFD" w14:textId="77777777" w:rsidR="0086045B" w:rsidRPr="006952A9" w:rsidRDefault="0086045B" w:rsidP="0086045B">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Las políticas sobre el cannabis para fines médicos y recreativos han sido actualizadas </w:t>
      </w:r>
      <w:r w:rsidR="00730BAC">
        <w:rPr>
          <w:rFonts w:ascii="Arial Narrow" w:eastAsia="Arial Narrow" w:hAnsi="Arial Narrow" w:cs="Arial Narrow"/>
          <w:sz w:val="24"/>
          <w:szCs w:val="24"/>
        </w:rPr>
        <w:t xml:space="preserve">en varios Países y Estados </w:t>
      </w:r>
      <w:r w:rsidRPr="18CE227D">
        <w:rPr>
          <w:rFonts w:ascii="Arial Narrow" w:eastAsia="Arial Narrow" w:hAnsi="Arial Narrow" w:cs="Arial Narrow"/>
          <w:sz w:val="24"/>
          <w:szCs w:val="24"/>
        </w:rPr>
        <w:t xml:space="preserve">de los Estados Unidos, incluyendo en varios casos reglamentaciones claras sobre el acceso, porte y consumo bajo la tutela normativa de los estados y con el </w:t>
      </w:r>
      <w:r w:rsidR="00730BAC">
        <w:rPr>
          <w:rFonts w:ascii="Arial Narrow" w:eastAsia="Arial Narrow" w:hAnsi="Arial Narrow" w:cs="Arial Narrow"/>
          <w:sz w:val="24"/>
          <w:szCs w:val="24"/>
        </w:rPr>
        <w:t>e</w:t>
      </w:r>
      <w:r w:rsidRPr="18CE227D">
        <w:rPr>
          <w:rFonts w:ascii="Arial Narrow" w:eastAsia="Arial Narrow" w:hAnsi="Arial Narrow" w:cs="Arial Narrow"/>
          <w:sz w:val="24"/>
          <w:szCs w:val="24"/>
        </w:rPr>
        <w:t xml:space="preserve">stablecimiento de medidas educativas, de acceso a </w:t>
      </w:r>
      <w:r w:rsidR="00730BAC" w:rsidRPr="18CE227D">
        <w:rPr>
          <w:rFonts w:ascii="Arial Narrow" w:eastAsia="Arial Narrow" w:hAnsi="Arial Narrow" w:cs="Arial Narrow"/>
          <w:sz w:val="24"/>
          <w:szCs w:val="24"/>
        </w:rPr>
        <w:t>información</w:t>
      </w:r>
      <w:r w:rsidRPr="18CE227D">
        <w:rPr>
          <w:rFonts w:ascii="Arial Narrow" w:eastAsia="Arial Narrow" w:hAnsi="Arial Narrow" w:cs="Arial Narrow"/>
          <w:sz w:val="24"/>
          <w:szCs w:val="24"/>
        </w:rPr>
        <w:t xml:space="preserve">, impuestos y destinación de lo recaudado a propósitos sociales. Estas modificaciones sugieren que el cannabis está ganando más aceptación social y política basada en la evidencia científica. En este contexto se puede citar </w:t>
      </w:r>
      <w:r w:rsidR="00730BAC" w:rsidRPr="18CE227D">
        <w:rPr>
          <w:rFonts w:ascii="Arial Narrow" w:eastAsia="Arial Narrow" w:hAnsi="Arial Narrow" w:cs="Arial Narrow"/>
          <w:sz w:val="24"/>
          <w:szCs w:val="24"/>
        </w:rPr>
        <w:t>también</w:t>
      </w:r>
      <w:r w:rsidRPr="18CE227D">
        <w:rPr>
          <w:rFonts w:ascii="Arial Narrow" w:eastAsia="Arial Narrow" w:hAnsi="Arial Narrow" w:cs="Arial Narrow"/>
          <w:sz w:val="24"/>
          <w:szCs w:val="24"/>
        </w:rPr>
        <w:t>, el hecho de que la Comisión de Estupefacientes de la Organización de Naciones Unid</w:t>
      </w:r>
      <w:r w:rsidR="00730BAC">
        <w:rPr>
          <w:rFonts w:ascii="Arial Narrow" w:eastAsia="Arial Narrow" w:hAnsi="Arial Narrow" w:cs="Arial Narrow"/>
          <w:sz w:val="24"/>
          <w:szCs w:val="24"/>
        </w:rPr>
        <w:t>as (ONU), decidió reclasificar o</w:t>
      </w:r>
      <w:r w:rsidRPr="18CE227D">
        <w:rPr>
          <w:rFonts w:ascii="Arial Narrow" w:eastAsia="Arial Narrow" w:hAnsi="Arial Narrow" w:cs="Arial Narrow"/>
          <w:sz w:val="24"/>
          <w:szCs w:val="24"/>
        </w:rPr>
        <w:t xml:space="preserve"> el cannabis de la Lista IV de la Convención Única de Estupefacientes basado en recomendaciones de la Organización Mundial de la Salud sobre las potencialidades de la planta.  </w:t>
      </w:r>
    </w:p>
    <w:p w14:paraId="6E7610A6"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MODELOS DE REGULACIÓN</w:t>
      </w:r>
      <w:r w:rsidRPr="006952A9">
        <w:rPr>
          <w:rFonts w:ascii="Arial Narrow" w:eastAsia="Arial Narrow" w:hAnsi="Arial Narrow" w:cs="Arial Narrow"/>
          <w:b/>
          <w:sz w:val="24"/>
          <w:szCs w:val="24"/>
          <w:vertAlign w:val="superscript"/>
        </w:rPr>
        <w:footnoteReference w:id="13"/>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86045B" w:rsidRPr="006952A9" w14:paraId="09A0B10C" w14:textId="77777777" w:rsidTr="0086045B">
        <w:tc>
          <w:tcPr>
            <w:tcW w:w="2207" w:type="dxa"/>
            <w:shd w:val="clear" w:color="auto" w:fill="D9D9D9" w:themeFill="background1" w:themeFillShade="D9"/>
          </w:tcPr>
          <w:p w14:paraId="4269A3EB"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Uruguay</w:t>
            </w:r>
          </w:p>
        </w:tc>
        <w:tc>
          <w:tcPr>
            <w:tcW w:w="2207" w:type="dxa"/>
            <w:shd w:val="clear" w:color="auto" w:fill="D9D9D9" w:themeFill="background1" w:themeFillShade="D9"/>
          </w:tcPr>
          <w:p w14:paraId="69C252B3"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Holanda</w:t>
            </w:r>
          </w:p>
        </w:tc>
        <w:tc>
          <w:tcPr>
            <w:tcW w:w="2207" w:type="dxa"/>
            <w:shd w:val="clear" w:color="auto" w:fill="D9D9D9" w:themeFill="background1" w:themeFillShade="D9"/>
          </w:tcPr>
          <w:p w14:paraId="5EEB7F2F"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Colorado</w:t>
            </w:r>
          </w:p>
        </w:tc>
        <w:tc>
          <w:tcPr>
            <w:tcW w:w="2207" w:type="dxa"/>
            <w:shd w:val="clear" w:color="auto" w:fill="D9D9D9" w:themeFill="background1" w:themeFillShade="D9"/>
          </w:tcPr>
          <w:p w14:paraId="0B7B05F8"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España</w:t>
            </w:r>
          </w:p>
        </w:tc>
      </w:tr>
      <w:tr w:rsidR="0086045B" w:rsidRPr="006952A9" w14:paraId="55E10DE6" w14:textId="77777777" w:rsidTr="0086045B">
        <w:tc>
          <w:tcPr>
            <w:tcW w:w="8828" w:type="dxa"/>
            <w:gridSpan w:val="4"/>
            <w:shd w:val="clear" w:color="auto" w:fill="D9D9D9" w:themeFill="background1" w:themeFillShade="D9"/>
          </w:tcPr>
          <w:p w14:paraId="74B4C471"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PRODUCCIÓN</w:t>
            </w:r>
          </w:p>
        </w:tc>
      </w:tr>
      <w:tr w:rsidR="0086045B" w:rsidRPr="006952A9" w14:paraId="7C8D4B84" w14:textId="77777777" w:rsidTr="0086045B">
        <w:tc>
          <w:tcPr>
            <w:tcW w:w="2207" w:type="dxa"/>
          </w:tcPr>
          <w:p w14:paraId="35DF0B4B"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Un grupo de empresas privadas son contratadas por el gobierno para producir el cannabis.</w:t>
            </w:r>
          </w:p>
          <w:p w14:paraId="48C114D0"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 producción es monitoreada por el Instituto para la   Regulación y Control del Cannabis operado por el gobierno que también es responsable de otorgar las licencias.</w:t>
            </w:r>
          </w:p>
          <w:p w14:paraId="32483DDD"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 producción se realiza en tierras estatales supervisadas tanto por seguridad privada (pagada por los productores autorizados) como pública (policía o ejército).</w:t>
            </w:r>
          </w:p>
        </w:tc>
        <w:tc>
          <w:tcPr>
            <w:tcW w:w="2207" w:type="dxa"/>
          </w:tcPr>
          <w:p w14:paraId="187A1A02"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Recientemente este país ensaya un piloto que le sirva de modelo de producción en 10 municipios. El cannabis aún proviene del mercado ilícito sin ninguna provisión de regulación.</w:t>
            </w:r>
          </w:p>
          <w:p w14:paraId="1F448696"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Cierta cantidad se produce domésticamente y otra aún se importa de países tradicionalmente productores.</w:t>
            </w:r>
          </w:p>
        </w:tc>
        <w:tc>
          <w:tcPr>
            <w:tcW w:w="2207" w:type="dxa"/>
          </w:tcPr>
          <w:p w14:paraId="22EBE363"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Las licencias de producción se otorgan por la “Marijuana Enforcement Division” a individuos o compañías que pasen una revisión de perfil y cumplan con los controles de seguridad y calidad especificados. Este estado es pionero en reducción de criminalidad asociada a las ventas de cannabis, así como en el destino de los recursos recaudados por impuestos a fines sociales en los EEUU. Allí </w:t>
            </w:r>
            <w:r w:rsidR="00730BAC" w:rsidRPr="18CE227D">
              <w:rPr>
                <w:rFonts w:ascii="Arial Narrow" w:eastAsia="Arial Narrow" w:hAnsi="Arial Narrow" w:cs="Arial Narrow"/>
                <w:sz w:val="24"/>
                <w:szCs w:val="24"/>
              </w:rPr>
              <w:t>también</w:t>
            </w:r>
            <w:r w:rsidRPr="18CE227D">
              <w:rPr>
                <w:rFonts w:ascii="Arial Narrow" w:eastAsia="Arial Narrow" w:hAnsi="Arial Narrow" w:cs="Arial Narrow"/>
                <w:sz w:val="24"/>
                <w:szCs w:val="24"/>
              </w:rPr>
              <w:t xml:space="preserve"> se observa un aumento en el empl</w:t>
            </w:r>
            <w:r w:rsidR="00730BAC">
              <w:rPr>
                <w:rFonts w:ascii="Arial Narrow" w:eastAsia="Arial Narrow" w:hAnsi="Arial Narrow" w:cs="Arial Narrow"/>
                <w:sz w:val="24"/>
                <w:szCs w:val="24"/>
              </w:rPr>
              <w:t>e</w:t>
            </w:r>
            <w:r w:rsidRPr="18CE227D">
              <w:rPr>
                <w:rFonts w:ascii="Arial Narrow" w:eastAsia="Arial Narrow" w:hAnsi="Arial Narrow" w:cs="Arial Narrow"/>
                <w:sz w:val="24"/>
                <w:szCs w:val="24"/>
              </w:rPr>
              <w:t>o formal en esta cadena productiva.</w:t>
            </w:r>
          </w:p>
        </w:tc>
        <w:tc>
          <w:tcPr>
            <w:tcW w:w="2207" w:type="dxa"/>
          </w:tcPr>
          <w:p w14:paraId="4E7F1DF6"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se necesita licencia y no hay un marco regulatorio formal.</w:t>
            </w:r>
          </w:p>
          <w:p w14:paraId="7DAD4DC4"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trabajadores o voluntarios monitorean la producción bajo un código informal de conducta.</w:t>
            </w:r>
          </w:p>
        </w:tc>
      </w:tr>
      <w:tr w:rsidR="0086045B" w:rsidRPr="006952A9" w14:paraId="615F7948" w14:textId="77777777" w:rsidTr="0086045B">
        <w:tc>
          <w:tcPr>
            <w:tcW w:w="8828" w:type="dxa"/>
            <w:gridSpan w:val="4"/>
            <w:shd w:val="clear" w:color="auto" w:fill="D9D9D9" w:themeFill="background1" w:themeFillShade="D9"/>
          </w:tcPr>
          <w:p w14:paraId="5396F5C5"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POTENCIA</w:t>
            </w:r>
          </w:p>
        </w:tc>
      </w:tr>
      <w:tr w:rsidR="0086045B" w:rsidRPr="006952A9" w14:paraId="416925AF" w14:textId="77777777" w:rsidTr="0086045B">
        <w:tc>
          <w:tcPr>
            <w:tcW w:w="2207" w:type="dxa"/>
          </w:tcPr>
          <w:p w14:paraId="26BC9C85"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gobierno sólo otorga licencias de producción y abastecimiento de cannabis con un determinado contenido de THC y CBD.</w:t>
            </w:r>
          </w:p>
        </w:tc>
        <w:tc>
          <w:tcPr>
            <w:tcW w:w="2207" w:type="dxa"/>
          </w:tcPr>
          <w:p w14:paraId="2CCD5A3B"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límites de potencia en los productos vendidos. Pruebas y etiquetado Formales para los productos de cannabis en particular para los contenidos de THC.</w:t>
            </w:r>
          </w:p>
          <w:p w14:paraId="5D0B60F3"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gobierno holandés ha propuesto una prohibición a los productos de cannabis con un nivel de THC mayor al 15%, pero esto aún no se ha instrumentado.</w:t>
            </w:r>
          </w:p>
        </w:tc>
        <w:tc>
          <w:tcPr>
            <w:tcW w:w="2207" w:type="dxa"/>
          </w:tcPr>
          <w:p w14:paraId="18932A1D"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límites de potencia (THC) pero el embalaje debe indicar los niveles/contenido de THC.</w:t>
            </w:r>
          </w:p>
        </w:tc>
        <w:tc>
          <w:tcPr>
            <w:tcW w:w="2207" w:type="dxa"/>
          </w:tcPr>
          <w:p w14:paraId="60C35A39"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cultivan cepas de diversas potencias.  No hay un mandato para realizar pruebas.</w:t>
            </w:r>
          </w:p>
        </w:tc>
      </w:tr>
      <w:tr w:rsidR="0086045B" w:rsidRPr="006952A9" w14:paraId="59002AB5" w14:textId="77777777" w:rsidTr="0086045B">
        <w:tc>
          <w:tcPr>
            <w:tcW w:w="8828" w:type="dxa"/>
            <w:gridSpan w:val="4"/>
            <w:shd w:val="clear" w:color="auto" w:fill="D9D9D9" w:themeFill="background1" w:themeFillShade="D9"/>
          </w:tcPr>
          <w:p w14:paraId="79D77067"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PRECIO</w:t>
            </w:r>
          </w:p>
        </w:tc>
      </w:tr>
      <w:tr w:rsidR="0086045B" w:rsidRPr="006952A9" w14:paraId="75105881" w14:textId="77777777" w:rsidTr="0086045B">
        <w:tc>
          <w:tcPr>
            <w:tcW w:w="2207" w:type="dxa"/>
          </w:tcPr>
          <w:p w14:paraId="7673555E"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El precio se fija entre los 20 y los 22 pesos uruguayos por gramo tomando en cuenta un porcentaje de impuestos que servirá para cubrirlos costos de funcionamiento del IRCCA y financiará una Campaña nacional de educación sobre las consecuencias del uso de cannabis.</w:t>
            </w:r>
          </w:p>
        </w:tc>
        <w:tc>
          <w:tcPr>
            <w:tcW w:w="2207" w:type="dxa"/>
          </w:tcPr>
          <w:p w14:paraId="419EDB67"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controles de precios, aunque los precios continúan relativamente tan altos como los del mercado ilegal dados los costos de personal, impuestos, ubicación, así como por el riesgo de ser arrestados al que aún se enfrentan los productores.</w:t>
            </w:r>
          </w:p>
        </w:tc>
        <w:tc>
          <w:tcPr>
            <w:tcW w:w="2207" w:type="dxa"/>
          </w:tcPr>
          <w:p w14:paraId="0653D9C2"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El precio de la venta al por menor está esencialmente determinado por el mercado y los impuestos.</w:t>
            </w:r>
          </w:p>
        </w:tc>
        <w:tc>
          <w:tcPr>
            <w:tcW w:w="2207" w:type="dxa"/>
          </w:tcPr>
          <w:p w14:paraId="59D5AB10"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Los usuarios pagan cuotas de membresía en los clubes a los que pertenecen en proporción a su consumo, la cuales se reinvierten en el mantenimiento del club.</w:t>
            </w:r>
          </w:p>
        </w:tc>
      </w:tr>
      <w:tr w:rsidR="0086045B" w:rsidRPr="006952A9" w14:paraId="649B3DF5" w14:textId="77777777" w:rsidTr="0086045B">
        <w:tc>
          <w:tcPr>
            <w:tcW w:w="8828" w:type="dxa"/>
            <w:gridSpan w:val="4"/>
            <w:shd w:val="clear" w:color="auto" w:fill="D9D9D9" w:themeFill="background1" w:themeFillShade="D9"/>
          </w:tcPr>
          <w:p w14:paraId="0F2048F3" w14:textId="77777777" w:rsidR="0086045B" w:rsidRPr="006952A9" w:rsidRDefault="0086045B" w:rsidP="0086045B">
            <w:pPr>
              <w:spacing w:before="280"/>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RESTRICCIONES A COMPRADORES</w:t>
            </w:r>
          </w:p>
        </w:tc>
      </w:tr>
      <w:tr w:rsidR="0086045B" w:rsidRPr="006952A9" w14:paraId="08F8166A" w14:textId="77777777" w:rsidTr="0086045B">
        <w:tc>
          <w:tcPr>
            <w:tcW w:w="2207" w:type="dxa"/>
          </w:tcPr>
          <w:p w14:paraId="32A4DC3C"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La venta de cannabis está restringida a ciudadanos uruguayos y residentes. Éstos pueden comprar sólo 40 gramos al mes (máximo 10 gramos por semana) y el volumen de venta a usuarios individuales se monitorea vía base de datos anónima del gobierno central. Los compradores deben presentar una prescripción médica y estar registrados en la base de datos para tener acceso al cannabis.</w:t>
            </w:r>
          </w:p>
        </w:tc>
        <w:tc>
          <w:tcPr>
            <w:tcW w:w="2207" w:type="dxa"/>
          </w:tcPr>
          <w:p w14:paraId="79A1C9C7"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Los “cafés” no pueden vender más de 5 gramos por persona por día</w:t>
            </w:r>
            <w:r w:rsidR="00730BAC">
              <w:rPr>
                <w:rFonts w:ascii="Arial Narrow" w:eastAsia="Arial Narrow" w:hAnsi="Arial Narrow" w:cs="Arial Narrow"/>
                <w:sz w:val="24"/>
                <w:szCs w:val="24"/>
              </w:rPr>
              <w:t xml:space="preserve">. </w:t>
            </w:r>
            <w:r w:rsidRPr="18CE227D">
              <w:rPr>
                <w:rFonts w:ascii="Arial Narrow" w:eastAsia="Arial Narrow" w:hAnsi="Arial Narrow" w:cs="Arial Narrow"/>
                <w:sz w:val="24"/>
                <w:szCs w:val="24"/>
              </w:rPr>
              <w:t>Algunos municipios fronterizos aplican una restricción que sólo permite el acceso a los residentes del municipio.</w:t>
            </w:r>
          </w:p>
        </w:tc>
        <w:tc>
          <w:tcPr>
            <w:tcW w:w="2207" w:type="dxa"/>
          </w:tcPr>
          <w:p w14:paraId="4EC6CB48"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residentes de Colorado pueden comprar hasta 1 onza de cannabis por transacción, los no residentes están restringidos a un cuarto de onza por transacción.</w:t>
            </w:r>
          </w:p>
        </w:tc>
        <w:tc>
          <w:tcPr>
            <w:tcW w:w="2207" w:type="dxa"/>
          </w:tcPr>
          <w:p w14:paraId="3B7169E4"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la mayoría de los clubes, la membresía puede obtenerse sólo vía la invitación explícita de otro miembro, o si alguien tiene una necesidad médica de cannabis. Típicamente cada miembro tiene acceso a 2 o 3 gramos por día.</w:t>
            </w:r>
          </w:p>
        </w:tc>
      </w:tr>
      <w:tr w:rsidR="0086045B" w:rsidRPr="006952A9" w14:paraId="5055353C" w14:textId="77777777" w:rsidTr="0086045B">
        <w:tc>
          <w:tcPr>
            <w:tcW w:w="8828" w:type="dxa"/>
            <w:gridSpan w:val="4"/>
            <w:shd w:val="clear" w:color="auto" w:fill="D9D9D9" w:themeFill="background1" w:themeFillShade="D9"/>
          </w:tcPr>
          <w:p w14:paraId="30809808"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VENDEDORES</w:t>
            </w:r>
          </w:p>
        </w:tc>
      </w:tr>
      <w:tr w:rsidR="0086045B" w:rsidRPr="006952A9" w14:paraId="65779820" w14:textId="77777777" w:rsidTr="0086045B">
        <w:tc>
          <w:tcPr>
            <w:tcW w:w="2207" w:type="dxa"/>
          </w:tcPr>
          <w:p w14:paraId="6FE81FD4"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Farmacéuticos calificados con licencia para comerciar cannabis, las cuales son otorgadas por el Ministerio de Salud Pública.</w:t>
            </w:r>
          </w:p>
        </w:tc>
        <w:tc>
          <w:tcPr>
            <w:tcW w:w="2207" w:type="dxa"/>
          </w:tcPr>
          <w:p w14:paraId="3719EA79"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Sanciones por violaciones a las condiciones de la licencia, tales como venta a menores.  El entrenamiento formal de los vendedores no es un requisito.</w:t>
            </w:r>
          </w:p>
        </w:tc>
        <w:tc>
          <w:tcPr>
            <w:tcW w:w="2207" w:type="dxa"/>
          </w:tcPr>
          <w:p w14:paraId="7844F181"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Sanciones para las violaciones de las condiciones de la licencia, tales como venta a menores.  Los vendedores pueden obtener una designación de “vendedor responsable” tras haber completado un programa de entrenamiento aprobado por las autoridades estatales.</w:t>
            </w:r>
          </w:p>
        </w:tc>
        <w:tc>
          <w:tcPr>
            <w:tcW w:w="2207" w:type="dxa"/>
          </w:tcPr>
          <w:p w14:paraId="07F1E1FF"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El entrenamiento formal de los vendedores no es un requisito, aunque los clubes usualmente emplean personal o voluntarios con un conocimiento sustancial sobre el cannabis y su cultivo.</w:t>
            </w:r>
          </w:p>
        </w:tc>
      </w:tr>
      <w:tr w:rsidR="0086045B" w:rsidRPr="006952A9" w14:paraId="6FC77182" w14:textId="77777777" w:rsidTr="0086045B">
        <w:tc>
          <w:tcPr>
            <w:tcW w:w="8828" w:type="dxa"/>
            <w:gridSpan w:val="4"/>
            <w:shd w:val="clear" w:color="auto" w:fill="D9D9D9" w:themeFill="background1" w:themeFillShade="D9"/>
          </w:tcPr>
          <w:p w14:paraId="3813EF13"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PUNTOS DE VENTA</w:t>
            </w:r>
          </w:p>
        </w:tc>
      </w:tr>
      <w:tr w:rsidR="0086045B" w:rsidRPr="006952A9" w14:paraId="46CCCE19" w14:textId="77777777" w:rsidTr="0086045B">
        <w:tc>
          <w:tcPr>
            <w:tcW w:w="2207" w:type="dxa"/>
          </w:tcPr>
          <w:p w14:paraId="515A7E9D"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productores privados venden el cannabis al gobierno que después lo distribuye a farmacias con licencia a usuarios registrados.</w:t>
            </w:r>
          </w:p>
          <w:p w14:paraId="17B82694"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Las farmacias tienen permitido vender el cannabis junto con otras drogas médicas.</w:t>
            </w:r>
          </w:p>
        </w:tc>
        <w:tc>
          <w:tcPr>
            <w:tcW w:w="2207" w:type="dxa"/>
          </w:tcPr>
          <w:p w14:paraId="0EACB191"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gobiernos locales tienen el poder de decidir si aceptan o no “cafés” en sus áreas. Los “cafés” no están permitidos dentro de un radio de 250 m de las escuelas.</w:t>
            </w:r>
            <w:r w:rsidRPr="006952A9">
              <w:rPr>
                <w:rFonts w:ascii="Arial Narrow" w:eastAsia="Arial Narrow" w:hAnsi="Arial Narrow" w:cs="Arial Narrow"/>
                <w:sz w:val="24"/>
                <w:szCs w:val="24"/>
              </w:rPr>
              <w:br/>
              <w:t>Los “cafés” no tienen permitido vender alcohol y sólo pueden tener 500g de cannabis en el local en cualquier momento.</w:t>
            </w:r>
          </w:p>
        </w:tc>
        <w:tc>
          <w:tcPr>
            <w:tcW w:w="2207" w:type="dxa"/>
          </w:tcPr>
          <w:p w14:paraId="1224CB30"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puntos de venta no pueden vender otra cosa más que cannabis y productos de cannabis. Los menores tienen prohibido entrar a las tiendas. Durante el primer año del nuevo sistema los puntos de venta deben producir al menos el 70% de lo que venden.</w:t>
            </w:r>
          </w:p>
        </w:tc>
        <w:tc>
          <w:tcPr>
            <w:tcW w:w="2207" w:type="dxa"/>
          </w:tcPr>
          <w:p w14:paraId="2893BD2A"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No hay restricciones respecto a dónde pueden establecerse los clubes. El cannabis se distribuye en el sitio mismo, por los trabajadores del club y sólo cantidades limitadas pueden llevarse para ser consumidas fuera del sitio </w:t>
            </w:r>
          </w:p>
        </w:tc>
      </w:tr>
      <w:tr w:rsidR="0086045B" w:rsidRPr="006952A9" w14:paraId="6271D380" w14:textId="77777777" w:rsidTr="0086045B">
        <w:tc>
          <w:tcPr>
            <w:tcW w:w="8828" w:type="dxa"/>
            <w:gridSpan w:val="4"/>
            <w:shd w:val="clear" w:color="auto" w:fill="D9D9D9" w:themeFill="background1" w:themeFillShade="D9"/>
          </w:tcPr>
          <w:p w14:paraId="3A0B66C1" w14:textId="77777777" w:rsidR="0086045B" w:rsidRPr="006952A9" w:rsidRDefault="0086045B" w:rsidP="0086045B">
            <w:pPr>
              <w:spacing w:before="280"/>
              <w:ind w:left="720" w:hanging="72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IMPUESTOS</w:t>
            </w:r>
          </w:p>
        </w:tc>
      </w:tr>
      <w:tr w:rsidR="0086045B" w:rsidRPr="006952A9" w14:paraId="4CFB4E14" w14:textId="77777777" w:rsidTr="0086045B">
        <w:tc>
          <w:tcPr>
            <w:tcW w:w="2207" w:type="dxa"/>
          </w:tcPr>
          <w:p w14:paraId="43CBCA17"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ingresos impositivos son utilizados para financiar el funcionamiento del IRCCA y una campaña nacional para educar al público sobre las consecuencias del uso del cannabis.</w:t>
            </w:r>
          </w:p>
        </w:tc>
        <w:tc>
          <w:tcPr>
            <w:tcW w:w="2207" w:type="dxa"/>
          </w:tcPr>
          <w:p w14:paraId="7C14A01B"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“cafés” no pagan IVA, pero sí otros impuestos de cooperación y venta.</w:t>
            </w:r>
          </w:p>
          <w:p w14:paraId="3E4F1E26"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2008, los “cafés” holandeses pagaron 400 mil euros de impuestos sobre ventas que se ubicaron alrededor de los 2 mil millones de euros.</w:t>
            </w:r>
          </w:p>
        </w:tc>
        <w:tc>
          <w:tcPr>
            <w:tcW w:w="2207" w:type="dxa"/>
          </w:tcPr>
          <w:p w14:paraId="7C4478D5" w14:textId="77777777" w:rsidR="0086045B" w:rsidRPr="006952A9" w:rsidRDefault="0086045B" w:rsidP="00730BAC">
            <w:pPr>
              <w:spacing w:before="280"/>
              <w:jc w:val="both"/>
              <w:rPr>
                <w:rFonts w:ascii="Arial Narrow" w:eastAsia="Arial Narrow" w:hAnsi="Arial Narrow" w:cs="Arial Narrow"/>
                <w:b/>
                <w:bCs/>
                <w:sz w:val="24"/>
                <w:szCs w:val="24"/>
              </w:rPr>
            </w:pPr>
            <w:r w:rsidRPr="18CE227D">
              <w:rPr>
                <w:rFonts w:ascii="Arial Narrow" w:eastAsia="Arial Narrow" w:hAnsi="Arial Narrow" w:cs="Arial Narrow"/>
                <w:sz w:val="24"/>
                <w:szCs w:val="24"/>
              </w:rPr>
              <w:t xml:space="preserve">Cuando se puso en marcha la </w:t>
            </w:r>
            <w:r w:rsidR="00730BAC" w:rsidRPr="18CE227D">
              <w:rPr>
                <w:rFonts w:ascii="Arial Narrow" w:eastAsia="Arial Narrow" w:hAnsi="Arial Narrow" w:cs="Arial Narrow"/>
                <w:sz w:val="24"/>
                <w:szCs w:val="24"/>
              </w:rPr>
              <w:t>regulación</w:t>
            </w:r>
            <w:r w:rsidRPr="18CE227D">
              <w:rPr>
                <w:rFonts w:ascii="Arial Narrow" w:eastAsia="Arial Narrow" w:hAnsi="Arial Narrow" w:cs="Arial Narrow"/>
                <w:sz w:val="24"/>
                <w:szCs w:val="24"/>
              </w:rPr>
              <w:t xml:space="preserve"> la  tarifa propuesta era de 15% de impuestos por la administración tributaria y 10% de impuesto de venta.</w:t>
            </w:r>
            <w:r>
              <w:br/>
            </w:r>
            <w:r w:rsidRPr="18CE227D">
              <w:rPr>
                <w:rFonts w:ascii="Arial Narrow" w:eastAsia="Arial Narrow" w:hAnsi="Arial Narrow" w:cs="Arial Narrow"/>
                <w:sz w:val="24"/>
                <w:szCs w:val="24"/>
              </w:rPr>
              <w:t>$40 millones al año provenientes de los impuestos se destinaron a la construcción de escuelas, mientras que los impuestos de venta cubren los gastos del nuevo sistema regulatorio.</w:t>
            </w:r>
          </w:p>
        </w:tc>
        <w:tc>
          <w:tcPr>
            <w:tcW w:w="2207" w:type="dxa"/>
          </w:tcPr>
          <w:p w14:paraId="69DC8C32"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Los clubes sociales pagan impuestos sobre la renta, seguridad social para sus empleados, impuestos, corporativos y, en algunos casos, IVA en los productos que venden.</w:t>
            </w:r>
          </w:p>
        </w:tc>
      </w:tr>
    </w:tbl>
    <w:p w14:paraId="5FEF2F07"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br/>
        <w:t>De acuerdo con las leyes federales de Estados Unidos, es ilegal vender, poseer o consumir todo tipo de cannabis. Sin embargo, el panorama es radicalmente diferente en las jurisdicciones Estaduales donde existe un creciente apoyo y año tras años aumenta el número de Estados que regulan el cannabis medicinal y recreativo.</w:t>
      </w:r>
      <w:r w:rsidRPr="006952A9">
        <w:rPr>
          <w:rFonts w:ascii="Arial Narrow" w:eastAsia="Arial Narrow" w:hAnsi="Arial Narrow" w:cs="Arial Narrow"/>
          <w:sz w:val="24"/>
          <w:szCs w:val="24"/>
          <w:vertAlign w:val="superscript"/>
        </w:rPr>
        <w:footnoteReference w:id="14"/>
      </w:r>
      <w:r w:rsidRPr="006952A9">
        <w:rPr>
          <w:rFonts w:ascii="Arial Narrow" w:eastAsia="Arial Narrow" w:hAnsi="Arial Narrow" w:cs="Arial Narrow"/>
          <w:sz w:val="24"/>
          <w:szCs w:val="24"/>
        </w:rPr>
        <w:t xml:space="preserve">  </w:t>
      </w:r>
    </w:p>
    <w:p w14:paraId="75EC109B" w14:textId="77777777" w:rsidR="0086045B" w:rsidRPr="006952A9" w:rsidRDefault="0086045B" w:rsidP="0086045B">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Gráfico 2</w:t>
      </w:r>
      <w:r w:rsidRPr="006952A9">
        <w:rPr>
          <w:rFonts w:ascii="Arial Narrow" w:eastAsia="Arial Narrow" w:hAnsi="Arial Narrow" w:cs="Arial Narrow"/>
          <w:b/>
          <w:sz w:val="24"/>
          <w:szCs w:val="24"/>
        </w:rPr>
        <w:br/>
        <w:t>La industria del cannabis legal en Estados Unidos</w:t>
      </w:r>
      <w:r w:rsidRPr="006952A9">
        <w:rPr>
          <w:rFonts w:ascii="Arial Narrow" w:eastAsia="Arial Narrow" w:hAnsi="Arial Narrow" w:cs="Arial Narrow"/>
          <w:b/>
          <w:sz w:val="24"/>
          <w:szCs w:val="24"/>
          <w:vertAlign w:val="superscript"/>
        </w:rPr>
        <w:footnoteReference w:id="15"/>
      </w:r>
      <w:r w:rsidRPr="006952A9">
        <w:rPr>
          <w:rFonts w:ascii="Arial Narrow" w:eastAsia="Arial Narrow" w:hAnsi="Arial Narrow" w:cs="Arial Narrow"/>
          <w:noProof/>
          <w:sz w:val="24"/>
          <w:szCs w:val="24"/>
        </w:rPr>
        <w:drawing>
          <wp:inline distT="0" distB="0" distL="0" distR="0" wp14:anchorId="5F5140F0" wp14:editId="4B350E1B">
            <wp:extent cx="4838918" cy="3076714"/>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8148" t="21605" r="36188" b="16328"/>
                    <a:stretch>
                      <a:fillRect/>
                    </a:stretch>
                  </pic:blipFill>
                  <pic:spPr>
                    <a:xfrm>
                      <a:off x="0" y="0"/>
                      <a:ext cx="4838918" cy="3076714"/>
                    </a:xfrm>
                    <a:prstGeom prst="rect">
                      <a:avLst/>
                    </a:prstGeom>
                    <a:ln/>
                  </pic:spPr>
                </pic:pic>
              </a:graphicData>
            </a:graphic>
          </wp:inline>
        </w:drawing>
      </w:r>
    </w:p>
    <w:p w14:paraId="7C460E2E"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La prohibición en el mundo no ha logrado controlar la producción del cannabis, pero ha perseguido y arrestado ciudadanos en una evidente violación al derecho al libre desarrollo de la personalidad por eso en diferentes regulaciones se han implementado medidas de justicia social que buscan medidas de reparación a las comunidades tradicionalmente criminalizadas.</w:t>
      </w:r>
    </w:p>
    <w:p w14:paraId="269AEEED"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Medidas de justicia Social En El Contexto Internacional</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394"/>
      </w:tblGrid>
      <w:tr w:rsidR="0086045B" w:rsidRPr="006952A9" w14:paraId="50AD3B9E" w14:textId="77777777" w:rsidTr="0086045B">
        <w:tc>
          <w:tcPr>
            <w:tcW w:w="4106" w:type="dxa"/>
            <w:shd w:val="clear" w:color="auto" w:fill="BFBFBF" w:themeFill="background1" w:themeFillShade="BF"/>
          </w:tcPr>
          <w:p w14:paraId="20CCC973" w14:textId="77777777" w:rsidR="0086045B" w:rsidRPr="006952A9" w:rsidRDefault="0086045B" w:rsidP="0086045B">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SAN VICENTE Y GRANADA</w:t>
            </w:r>
          </w:p>
        </w:tc>
        <w:tc>
          <w:tcPr>
            <w:tcW w:w="4394" w:type="dxa"/>
            <w:shd w:val="clear" w:color="auto" w:fill="BFBFBF" w:themeFill="background1" w:themeFillShade="BF"/>
          </w:tcPr>
          <w:p w14:paraId="6B5901F6" w14:textId="77777777" w:rsidR="0086045B" w:rsidRPr="006952A9" w:rsidRDefault="0086045B" w:rsidP="0086045B">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CANADÁ</w:t>
            </w:r>
          </w:p>
        </w:tc>
      </w:tr>
      <w:tr w:rsidR="0086045B" w:rsidRPr="006952A9" w14:paraId="7A1A3D2E" w14:textId="77777777" w:rsidTr="0086045B">
        <w:tc>
          <w:tcPr>
            <w:tcW w:w="4106" w:type="dxa"/>
          </w:tcPr>
          <w:p w14:paraId="20D502FA"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Aprobó dos leyes acerca de cannabis: la Ley de Industria de Cannabis Medicinal de 2018 y la Ley de Amnistía de Cultivo de Cannabis de 2018, que establece la industria legal del cannabis medicinal. La Ley de Amnistía está diseñada para ayudar a transitar a los pequeños productores que han cultivado y comerciado ilegalmente cannabis hacia un estatus legal como cultivadores licenciados de cannabis medicinal.</w:t>
            </w:r>
          </w:p>
        </w:tc>
        <w:tc>
          <w:tcPr>
            <w:tcW w:w="4394" w:type="dxa"/>
          </w:tcPr>
          <w:p w14:paraId="26DFFDD9"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Tiene una regulación de libre mercado, con políticas antimonopólicas al no permitir la integración vertical, pues no otorga licencias de producción y venta a una misma empresa</w:t>
            </w:r>
          </w:p>
        </w:tc>
      </w:tr>
      <w:tr w:rsidR="0086045B" w:rsidRPr="006952A9" w14:paraId="15BCE551" w14:textId="77777777" w:rsidTr="0086045B">
        <w:tc>
          <w:tcPr>
            <w:tcW w:w="4106" w:type="dxa"/>
            <w:shd w:val="clear" w:color="auto" w:fill="BFBFBF" w:themeFill="background1" w:themeFillShade="BF"/>
          </w:tcPr>
          <w:p w14:paraId="5BA9F543"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ILLINOIS</w:t>
            </w:r>
          </w:p>
        </w:tc>
        <w:tc>
          <w:tcPr>
            <w:tcW w:w="4394" w:type="dxa"/>
            <w:shd w:val="clear" w:color="auto" w:fill="BFBFBF" w:themeFill="background1" w:themeFillShade="BF"/>
          </w:tcPr>
          <w:p w14:paraId="2232E661"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NEW YORK</w:t>
            </w:r>
          </w:p>
        </w:tc>
      </w:tr>
      <w:tr w:rsidR="0086045B" w:rsidRPr="006952A9" w14:paraId="4732CC5C" w14:textId="77777777" w:rsidTr="0086045B">
        <w:tc>
          <w:tcPr>
            <w:tcW w:w="4106" w:type="dxa"/>
          </w:tcPr>
          <w:p w14:paraId="0AB6123F" w14:textId="77777777" w:rsidR="0086045B" w:rsidRPr="006952A9" w:rsidRDefault="0086045B" w:rsidP="0086045B">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Illinois cuenta con un programa de equidad social que busca alentar la participación en el mercado de personas arrestadas o condenadas por delitos de cannabis y buscando invertir en comunidades que más han sufrido las consecuencias de la guerra contra las drogas a través del programa</w:t>
            </w:r>
          </w:p>
          <w:p w14:paraId="05E6A8BF" w14:textId="77777777" w:rsidR="0086045B" w:rsidRPr="006952A9" w:rsidRDefault="0086045B" w:rsidP="0086045B">
            <w:pPr>
              <w:jc w:val="both"/>
              <w:rPr>
                <w:rFonts w:ascii="Arial Narrow" w:eastAsia="Arial Narrow" w:hAnsi="Arial Narrow" w:cs="Arial Narrow"/>
                <w:sz w:val="24"/>
                <w:szCs w:val="24"/>
              </w:rPr>
            </w:pPr>
          </w:p>
        </w:tc>
        <w:tc>
          <w:tcPr>
            <w:tcW w:w="4394" w:type="dxa"/>
          </w:tcPr>
          <w:p w14:paraId="7CE46127" w14:textId="77777777" w:rsidR="0086045B" w:rsidRPr="006952A9" w:rsidRDefault="0086045B" w:rsidP="0086045B">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Estableció un programa robusto de equidad social y económica que prioriza y proporciona recursos a los miembros de las comunidades que han sido afectadas de manera desproporcionada por las políticas de prohibición del cannabis, con el fin de que participen en la nueva industria asegurando un porcentaje de las licencias de distribución para ellas, que permite incluso que personas que fueron privadas de la libertad por ventas ilegales de cannabis en el pasado, ahora puedan obtener licencias para venta lícita.</w:t>
            </w:r>
          </w:p>
          <w:p w14:paraId="60701718" w14:textId="77777777" w:rsidR="0086045B" w:rsidRPr="006952A9" w:rsidRDefault="0086045B" w:rsidP="0086045B">
            <w:pPr>
              <w:jc w:val="both"/>
              <w:rPr>
                <w:rFonts w:ascii="Arial Narrow" w:eastAsia="Arial Narrow" w:hAnsi="Arial Narrow" w:cs="Arial Narrow"/>
                <w:sz w:val="24"/>
                <w:szCs w:val="24"/>
              </w:rPr>
            </w:pPr>
          </w:p>
        </w:tc>
      </w:tr>
    </w:tbl>
    <w:p w14:paraId="02D6BAB2" w14:textId="77777777" w:rsidR="0086045B" w:rsidRPr="006952A9" w:rsidRDefault="0086045B" w:rsidP="0086045B">
      <w:pPr>
        <w:rPr>
          <w:rFonts w:ascii="Arial Narrow" w:eastAsia="Arial Narrow" w:hAnsi="Arial Narrow" w:cs="Arial Narrow"/>
          <w:b/>
          <w:sz w:val="24"/>
          <w:szCs w:val="24"/>
        </w:rPr>
      </w:pPr>
    </w:p>
    <w:p w14:paraId="02C4E6E8" w14:textId="77777777" w:rsidR="0086045B" w:rsidRPr="006952A9" w:rsidRDefault="0086045B" w:rsidP="0086045B">
      <w:pPr>
        <w:numPr>
          <w:ilvl w:val="1"/>
          <w:numId w:val="18"/>
        </w:num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18CE227D">
        <w:rPr>
          <w:rFonts w:ascii="Arial Narrow" w:eastAsia="Arial Narrow" w:hAnsi="Arial Narrow" w:cs="Arial Narrow"/>
          <w:b/>
          <w:bCs/>
          <w:color w:val="000000" w:themeColor="text1"/>
          <w:sz w:val="24"/>
          <w:szCs w:val="24"/>
        </w:rPr>
        <w:t>IMPACTO ECONÓMICO</w:t>
      </w:r>
    </w:p>
    <w:p w14:paraId="56DAF426" w14:textId="77777777" w:rsidR="0086045B" w:rsidRPr="006952A9" w:rsidRDefault="0086045B" w:rsidP="0086045B">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28D54A8A" w14:textId="77777777" w:rsidR="0086045B" w:rsidRPr="0086045B" w:rsidRDefault="0086045B" w:rsidP="0086045B">
      <w:pPr>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 xml:space="preserve">El cannabis se ha convertido en los países que la han regulado en una gran fuente de ingreso producto de la carga impositiva al nuevo mercado, por ejemplo, en Massachusetts que en el 2016 aprobó la regulación del cannabis para uso adulto, los licenciatarios deben registrar y rastrear sus productos utilizando la </w:t>
      </w:r>
      <w:r w:rsidRPr="0086045B">
        <w:rPr>
          <w:rFonts w:ascii="Arial Narrow" w:eastAsia="Arial Narrow" w:hAnsi="Arial Narrow" w:cs="Arial Narrow"/>
          <w:b/>
          <w:color w:val="202122"/>
          <w:sz w:val="24"/>
          <w:szCs w:val="24"/>
        </w:rPr>
        <w:t>tecnología de registro de seguimiento desde la semilla hasta la venta</w:t>
      </w:r>
      <w:r w:rsidRPr="0086045B">
        <w:rPr>
          <w:rFonts w:ascii="Arial Narrow" w:eastAsia="Arial Narrow" w:hAnsi="Arial Narrow" w:cs="Arial Narrow"/>
          <w:color w:val="202122"/>
          <w:sz w:val="24"/>
          <w:szCs w:val="24"/>
        </w:rPr>
        <w:t>, proporcionando datos en tiempo real de las ventas haciendo más fácil la recaudación de impuestos de impuestos.</w:t>
      </w:r>
    </w:p>
    <w:p w14:paraId="1999622F" w14:textId="77777777" w:rsidR="0086045B" w:rsidRPr="0086045B" w:rsidRDefault="0086045B" w:rsidP="0086045B">
      <w:pPr>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Los Ingresos por impuestos de cannabis para uso de adultos son usados principalmente en iniciativas y campañas de prevención para jóvenes. El cannabis de uso adulto en este Estado está sujeto específicamente a:</w:t>
      </w:r>
    </w:p>
    <w:p w14:paraId="2C585495" w14:textId="77777777" w:rsidR="0086045B" w:rsidRPr="0086045B" w:rsidRDefault="0086045B" w:rsidP="0086045B">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Un impuesto Estatal sobre las ventas: 6,25%</w:t>
      </w:r>
    </w:p>
    <w:p w14:paraId="53B191BF" w14:textId="77777777" w:rsidR="0086045B" w:rsidRPr="0086045B" w:rsidRDefault="0086045B" w:rsidP="0086045B">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Un impuesto especial estatal 10,75%</w:t>
      </w:r>
    </w:p>
    <w:p w14:paraId="5E314060" w14:textId="77777777" w:rsidR="0086045B" w:rsidRPr="0086045B" w:rsidRDefault="0086045B" w:rsidP="0086045B">
      <w:pPr>
        <w:numPr>
          <w:ilvl w:val="0"/>
          <w:numId w:val="22"/>
        </w:numPr>
        <w:pBdr>
          <w:top w:val="nil"/>
          <w:left w:val="nil"/>
          <w:bottom w:val="nil"/>
          <w:right w:val="nil"/>
          <w:between w:val="nil"/>
        </w:pBdr>
        <w:spacing w:after="0" w:line="240" w:lineRule="auto"/>
        <w:jc w:val="both"/>
        <w:rPr>
          <w:rFonts w:ascii="Arial Narrow" w:eastAsia="Arial Narrow" w:hAnsi="Arial Narrow" w:cs="Arial Narrow"/>
          <w:b/>
          <w:color w:val="202122"/>
          <w:sz w:val="24"/>
          <w:szCs w:val="24"/>
        </w:rPr>
      </w:pPr>
      <w:r w:rsidRPr="0086045B">
        <w:rPr>
          <w:rFonts w:ascii="Arial Narrow" w:eastAsia="Arial Narrow" w:hAnsi="Arial Narrow" w:cs="Arial Narrow"/>
          <w:b/>
          <w:color w:val="202122"/>
          <w:sz w:val="24"/>
          <w:szCs w:val="24"/>
        </w:rPr>
        <w:t>Un impuesto opcional local para ciudades o pueblos: hasta el 3%</w:t>
      </w:r>
    </w:p>
    <w:p w14:paraId="227F839C" w14:textId="77777777" w:rsidR="0086045B" w:rsidRPr="0086045B" w:rsidRDefault="0086045B" w:rsidP="0086045B">
      <w:pPr>
        <w:pBdr>
          <w:top w:val="nil"/>
          <w:left w:val="nil"/>
          <w:bottom w:val="nil"/>
          <w:right w:val="nil"/>
          <w:between w:val="nil"/>
        </w:pBdr>
        <w:spacing w:after="0" w:line="240" w:lineRule="auto"/>
        <w:ind w:left="720"/>
        <w:jc w:val="both"/>
        <w:rPr>
          <w:rFonts w:ascii="Arial Narrow" w:eastAsia="Arial Narrow" w:hAnsi="Arial Narrow" w:cs="Arial Narrow"/>
          <w:color w:val="202122"/>
          <w:sz w:val="24"/>
          <w:szCs w:val="24"/>
        </w:rPr>
      </w:pPr>
    </w:p>
    <w:p w14:paraId="10E8BE42" w14:textId="77777777" w:rsidR="0086045B" w:rsidRPr="006952A9" w:rsidRDefault="0086045B" w:rsidP="0086045B">
      <w:pPr>
        <w:jc w:val="both"/>
        <w:rPr>
          <w:rFonts w:ascii="Arial Narrow" w:eastAsia="Arial Narrow" w:hAnsi="Arial Narrow" w:cs="Arial Narrow"/>
          <w:sz w:val="24"/>
          <w:szCs w:val="24"/>
        </w:rPr>
      </w:pPr>
      <w:r w:rsidRPr="0086045B">
        <w:rPr>
          <w:rFonts w:ascii="Arial Narrow" w:eastAsia="Arial Narrow" w:hAnsi="Arial Narrow" w:cs="Arial Narrow"/>
          <w:color w:val="202122"/>
          <w:sz w:val="24"/>
          <w:szCs w:val="24"/>
        </w:rPr>
        <w:t>Entre enero y septiembre de 2022 las ventas minoristas de cannabis llegaron a 1.08 Billones de Dólares como se muestra en el gráfico 3.</w:t>
      </w:r>
    </w:p>
    <w:p w14:paraId="4BD7A17F" w14:textId="77777777" w:rsidR="0086045B" w:rsidRPr="006952A9" w:rsidRDefault="0086045B" w:rsidP="0086045B">
      <w:pPr>
        <w:pBdr>
          <w:top w:val="nil"/>
          <w:left w:val="nil"/>
          <w:bottom w:val="nil"/>
          <w:right w:val="nil"/>
          <w:between w:val="nil"/>
        </w:pBdr>
        <w:spacing w:after="0" w:line="240" w:lineRule="auto"/>
        <w:ind w:left="720"/>
        <w:jc w:val="center"/>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GRÁFICO</w:t>
      </w:r>
      <w:r w:rsidRPr="006952A9">
        <w:rPr>
          <w:rFonts w:ascii="Arial Narrow" w:eastAsia="Arial Narrow" w:hAnsi="Arial Narrow" w:cs="Arial Narrow"/>
          <w:b/>
          <w:color w:val="000000"/>
          <w:sz w:val="24"/>
          <w:szCs w:val="24"/>
        </w:rPr>
        <w:t xml:space="preserve"> 3</w:t>
      </w:r>
      <w:r w:rsidRPr="006952A9">
        <w:rPr>
          <w:rFonts w:ascii="Arial Narrow" w:eastAsia="Arial Narrow" w:hAnsi="Arial Narrow" w:cs="Arial Narrow"/>
          <w:color w:val="000000"/>
          <w:sz w:val="24"/>
          <w:szCs w:val="24"/>
        </w:rPr>
        <w:br/>
      </w:r>
      <w:r w:rsidRPr="006952A9">
        <w:rPr>
          <w:rFonts w:ascii="Arial Narrow" w:eastAsia="Arial Narrow" w:hAnsi="Arial Narrow" w:cs="Arial Narrow"/>
          <w:b/>
          <w:color w:val="000000"/>
          <w:sz w:val="24"/>
          <w:szCs w:val="24"/>
        </w:rPr>
        <w:t>Ventas minoristas de Cannabis para uso adultos Enero- Septiembre 2022</w:t>
      </w:r>
      <w:r w:rsidRPr="006952A9">
        <w:rPr>
          <w:rFonts w:ascii="Arial Narrow" w:eastAsia="Arial Narrow" w:hAnsi="Arial Narrow" w:cs="Arial Narrow"/>
          <w:b/>
          <w:color w:val="000000"/>
          <w:sz w:val="24"/>
          <w:szCs w:val="24"/>
          <w:vertAlign w:val="superscript"/>
        </w:rPr>
        <w:footnoteReference w:id="16"/>
      </w:r>
    </w:p>
    <w:p w14:paraId="2A5B75D5" w14:textId="77777777" w:rsidR="0086045B" w:rsidRPr="006952A9"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6952A9">
        <w:rPr>
          <w:rFonts w:ascii="Arial Narrow" w:eastAsia="Arial Narrow" w:hAnsi="Arial Narrow" w:cs="Arial Narrow"/>
          <w:noProof/>
          <w:color w:val="000000"/>
          <w:sz w:val="24"/>
          <w:szCs w:val="24"/>
        </w:rPr>
        <w:drawing>
          <wp:inline distT="0" distB="0" distL="0" distR="0" wp14:anchorId="4D6AF042" wp14:editId="1A8FF4A3">
            <wp:extent cx="5612130" cy="1657708"/>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678" b="68298"/>
                    <a:stretch>
                      <a:fillRect/>
                    </a:stretch>
                  </pic:blipFill>
                  <pic:spPr>
                    <a:xfrm>
                      <a:off x="0" y="0"/>
                      <a:ext cx="5612130" cy="1657708"/>
                    </a:xfrm>
                    <a:prstGeom prst="rect">
                      <a:avLst/>
                    </a:prstGeom>
                    <a:ln/>
                  </pic:spPr>
                </pic:pic>
              </a:graphicData>
            </a:graphic>
          </wp:inline>
        </w:drawing>
      </w:r>
    </w:p>
    <w:p w14:paraId="11C4270D" w14:textId="77777777" w:rsidR="0086045B" w:rsidRPr="006952A9" w:rsidRDefault="0086045B" w:rsidP="0086045B">
      <w:pPr>
        <w:pBdr>
          <w:top w:val="nil"/>
          <w:left w:val="nil"/>
          <w:bottom w:val="nil"/>
          <w:right w:val="nil"/>
          <w:between w:val="nil"/>
        </w:pBdr>
        <w:spacing w:after="0" w:line="240" w:lineRule="auto"/>
        <w:ind w:left="720"/>
        <w:rPr>
          <w:rFonts w:ascii="Arial Narrow" w:eastAsia="Arial Narrow" w:hAnsi="Arial Narrow" w:cs="Arial Narrow"/>
          <w:color w:val="000000"/>
          <w:sz w:val="24"/>
          <w:szCs w:val="24"/>
        </w:rPr>
      </w:pPr>
    </w:p>
    <w:p w14:paraId="2D1AD9D1"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Massachusetts los impuestos recaudados por las ventas de cannabis en el 2021 superaron los de las bebidas alcohólicas. A finales de 2021, el estado había recaudado un total de 74,2 millones de dólares en impuestos de cannabis mientras que en el mismo periodo los impuestos por las ventas de alcohol supusieron un ingreso de 51,3 millones para el Estado</w:t>
      </w:r>
      <w:r w:rsidRPr="006952A9">
        <w:rPr>
          <w:rFonts w:ascii="Arial Narrow" w:eastAsia="Arial Narrow" w:hAnsi="Arial Narrow" w:cs="Arial Narrow"/>
          <w:sz w:val="24"/>
          <w:szCs w:val="24"/>
          <w:vertAlign w:val="superscript"/>
        </w:rPr>
        <w:footnoteReference w:id="17"/>
      </w:r>
      <w:r w:rsidRPr="006952A9">
        <w:rPr>
          <w:rFonts w:ascii="Arial Narrow" w:eastAsia="Arial Narrow" w:hAnsi="Arial Narrow" w:cs="Arial Narrow"/>
          <w:sz w:val="24"/>
          <w:szCs w:val="24"/>
        </w:rPr>
        <w:t>.</w:t>
      </w:r>
    </w:p>
    <w:p w14:paraId="7A22F453" w14:textId="77777777" w:rsidR="0086045B" w:rsidRPr="006952A9" w:rsidRDefault="0086045B" w:rsidP="0086045B">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IMPUESTOS AL CANNABIS EN ESTADOS UNIDOS POR ESTADO</w:t>
      </w:r>
      <w:r w:rsidRPr="006952A9">
        <w:rPr>
          <w:rFonts w:ascii="Arial Narrow" w:eastAsia="Arial Narrow" w:hAnsi="Arial Narrow" w:cs="Arial Narrow"/>
          <w:b/>
          <w:sz w:val="24"/>
          <w:szCs w:val="24"/>
          <w:vertAlign w:val="superscript"/>
        </w:rPr>
        <w:footnoteReference w:id="18"/>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819"/>
      </w:tblGrid>
      <w:tr w:rsidR="0086045B" w:rsidRPr="006952A9" w14:paraId="7A6B239B" w14:textId="77777777" w:rsidTr="0086045B">
        <w:tc>
          <w:tcPr>
            <w:tcW w:w="4390" w:type="dxa"/>
            <w:shd w:val="clear" w:color="auto" w:fill="D0CECE"/>
          </w:tcPr>
          <w:p w14:paraId="2A040658" w14:textId="77777777" w:rsidR="0086045B" w:rsidRPr="006952A9" w:rsidRDefault="0086045B" w:rsidP="0086045B">
            <w:pPr>
              <w:jc w:val="both"/>
              <w:rPr>
                <w:rFonts w:ascii="Arial Narrow" w:eastAsia="Arial Narrow" w:hAnsi="Arial Narrow" w:cs="Arial Narrow"/>
                <w:b/>
              </w:rPr>
            </w:pPr>
            <w:r w:rsidRPr="006952A9">
              <w:rPr>
                <w:rFonts w:ascii="Arial Narrow" w:eastAsia="Arial Narrow" w:hAnsi="Arial Narrow" w:cs="Arial Narrow"/>
                <w:b/>
              </w:rPr>
              <w:t>Estado</w:t>
            </w:r>
          </w:p>
        </w:tc>
        <w:tc>
          <w:tcPr>
            <w:tcW w:w="4819" w:type="dxa"/>
            <w:shd w:val="clear" w:color="auto" w:fill="D0CECE"/>
          </w:tcPr>
          <w:p w14:paraId="777430E9" w14:textId="77777777" w:rsidR="0086045B" w:rsidRPr="006952A9" w:rsidRDefault="0086045B" w:rsidP="0086045B">
            <w:pPr>
              <w:jc w:val="both"/>
              <w:rPr>
                <w:rFonts w:ascii="Arial Narrow" w:eastAsia="Arial Narrow" w:hAnsi="Arial Narrow" w:cs="Arial Narrow"/>
                <w:b/>
              </w:rPr>
            </w:pPr>
            <w:r w:rsidRPr="006952A9">
              <w:rPr>
                <w:rFonts w:ascii="Arial Narrow" w:eastAsia="Arial Narrow" w:hAnsi="Arial Narrow" w:cs="Arial Narrow"/>
                <w:b/>
              </w:rPr>
              <w:t xml:space="preserve">Tipos, tarifas y </w:t>
            </w:r>
          </w:p>
          <w:p w14:paraId="3F855DC5" w14:textId="77777777" w:rsidR="0086045B" w:rsidRPr="006952A9" w:rsidRDefault="0086045B" w:rsidP="0086045B">
            <w:pPr>
              <w:jc w:val="both"/>
              <w:rPr>
                <w:rFonts w:ascii="Arial Narrow" w:eastAsia="Arial Narrow" w:hAnsi="Arial Narrow" w:cs="Arial Narrow"/>
                <w:b/>
              </w:rPr>
            </w:pPr>
            <w:r w:rsidRPr="006952A9">
              <w:rPr>
                <w:rFonts w:ascii="Arial Narrow" w:eastAsia="Arial Narrow" w:hAnsi="Arial Narrow" w:cs="Arial Narrow"/>
                <w:b/>
              </w:rPr>
              <w:t>bases gravables</w:t>
            </w:r>
          </w:p>
        </w:tc>
      </w:tr>
      <w:tr w:rsidR="0086045B" w:rsidRPr="006952A9" w14:paraId="1E3B0D92" w14:textId="77777777" w:rsidTr="0086045B">
        <w:tc>
          <w:tcPr>
            <w:tcW w:w="4390" w:type="dxa"/>
          </w:tcPr>
          <w:p w14:paraId="7B41F7BA"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Alaska</w:t>
            </w:r>
          </w:p>
        </w:tc>
        <w:tc>
          <w:tcPr>
            <w:tcW w:w="4819" w:type="dxa"/>
          </w:tcPr>
          <w:p w14:paraId="2CC995AE"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50 USD por onza de flor madura.</w:t>
            </w:r>
          </w:p>
          <w:p w14:paraId="4C7FF878"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15 USD por onza para tallos y hojas.</w:t>
            </w:r>
          </w:p>
          <w:p w14:paraId="646BFFA3"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25 USD por onza de flor no madura</w:t>
            </w:r>
          </w:p>
        </w:tc>
      </w:tr>
      <w:tr w:rsidR="0086045B" w:rsidRPr="006952A9" w14:paraId="53734366" w14:textId="77777777" w:rsidTr="0086045B">
        <w:tc>
          <w:tcPr>
            <w:tcW w:w="4390" w:type="dxa"/>
          </w:tcPr>
          <w:p w14:paraId="5A846F75"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California</w:t>
            </w:r>
          </w:p>
        </w:tc>
        <w:tc>
          <w:tcPr>
            <w:tcW w:w="4819" w:type="dxa"/>
          </w:tcPr>
          <w:p w14:paraId="25B4B80B"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cultivo de 9,65 USD por onza de flor.</w:t>
            </w:r>
          </w:p>
          <w:p w14:paraId="21053DFD"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cultivo de 2,87 USD por onza de hoja.</w:t>
            </w:r>
          </w:p>
          <w:p w14:paraId="6127CB08"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cultivo de 1,35 USD por onza de material de planta</w:t>
            </w:r>
          </w:p>
          <w:p w14:paraId="4EA4CD9E"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fresco.</w:t>
            </w:r>
          </w:p>
          <w:p w14:paraId="23710CD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15 % del total de la venta.</w:t>
            </w:r>
          </w:p>
          <w:p w14:paraId="4305E01B"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Impuestos locales a la venta de 7,25 %.</w:t>
            </w:r>
          </w:p>
        </w:tc>
      </w:tr>
      <w:tr w:rsidR="0086045B" w:rsidRPr="006952A9" w14:paraId="4711807E" w14:textId="77777777" w:rsidTr="0086045B">
        <w:tc>
          <w:tcPr>
            <w:tcW w:w="4390" w:type="dxa"/>
          </w:tcPr>
          <w:p w14:paraId="07ED86DC"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Colorado</w:t>
            </w:r>
          </w:p>
        </w:tc>
        <w:tc>
          <w:tcPr>
            <w:tcW w:w="4819" w:type="dxa"/>
          </w:tcPr>
          <w:p w14:paraId="3E5B617E"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al consumo del 15 % a las ventas en tiendas de al menudeo.</w:t>
            </w:r>
          </w:p>
          <w:p w14:paraId="52B7E1C2"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a la venta del 15 %.</w:t>
            </w:r>
          </w:p>
          <w:p w14:paraId="735CB826"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local a la venta hasta de 8 % (opcional).</w:t>
            </w:r>
          </w:p>
        </w:tc>
      </w:tr>
      <w:tr w:rsidR="0086045B" w:rsidRPr="006952A9" w14:paraId="2E30547D" w14:textId="77777777" w:rsidTr="0086045B">
        <w:tc>
          <w:tcPr>
            <w:tcW w:w="4390" w:type="dxa"/>
          </w:tcPr>
          <w:p w14:paraId="057B30D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New york</w:t>
            </w:r>
          </w:p>
        </w:tc>
        <w:tc>
          <w:tcPr>
            <w:tcW w:w="4819" w:type="dxa"/>
          </w:tcPr>
          <w:p w14:paraId="620CDA5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Impuestos de 0,5 centavos por miligramo de THC para flores.</w:t>
            </w:r>
          </w:p>
          <w:p w14:paraId="2220B3E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Impuestos de 0,8 centavos por miligramo de THC para concentrados.</w:t>
            </w:r>
          </w:p>
          <w:p w14:paraId="5BA1F078"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de 0,3 centavos por miligramo de THC para comestibles.</w:t>
            </w:r>
          </w:p>
          <w:p w14:paraId="6E92FFBC"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a las ventas del 9 %.</w:t>
            </w:r>
          </w:p>
          <w:p w14:paraId="1869CED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local a las ventas del 4 %.</w:t>
            </w:r>
          </w:p>
        </w:tc>
      </w:tr>
      <w:tr w:rsidR="0086045B" w:rsidRPr="006952A9" w14:paraId="14431EE9" w14:textId="77777777" w:rsidTr="0086045B">
        <w:tc>
          <w:tcPr>
            <w:tcW w:w="4390" w:type="dxa"/>
          </w:tcPr>
          <w:p w14:paraId="0F25FF1A"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New Jersey</w:t>
            </w:r>
          </w:p>
        </w:tc>
        <w:tc>
          <w:tcPr>
            <w:tcW w:w="4819" w:type="dxa"/>
          </w:tcPr>
          <w:p w14:paraId="3FB84B0F"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Se aplica el impuesto estatal a las ventas del 6,6 % y la legislación prohíbe la imposición de impuestos</w:t>
            </w:r>
          </w:p>
          <w:p w14:paraId="1C244449"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Estatales adicionales.</w:t>
            </w:r>
          </w:p>
          <w:p w14:paraId="365C6316"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*Impuestos locales a las ventas hasta de 2 %</w:t>
            </w:r>
          </w:p>
          <w:p w14:paraId="1152102C"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(opcional).</w:t>
            </w:r>
          </w:p>
        </w:tc>
      </w:tr>
    </w:tbl>
    <w:p w14:paraId="6E058996" w14:textId="77777777" w:rsidR="0086045B" w:rsidRPr="0086045B" w:rsidRDefault="0086045B" w:rsidP="0086045B">
      <w:pPr>
        <w:jc w:val="both"/>
        <w:rPr>
          <w:rFonts w:ascii="Arial Narrow" w:eastAsia="Arial Narrow" w:hAnsi="Arial Narrow" w:cs="Arial Narrow"/>
          <w:sz w:val="24"/>
          <w:szCs w:val="24"/>
        </w:rPr>
      </w:pPr>
    </w:p>
    <w:p w14:paraId="657C417E" w14:textId="77777777" w:rsidR="0086045B" w:rsidRPr="0086045B" w:rsidRDefault="0086045B" w:rsidP="0086045B">
      <w:pPr>
        <w:pStyle w:val="Prrafodelista"/>
        <w:widowControl w:val="0"/>
        <w:numPr>
          <w:ilvl w:val="0"/>
          <w:numId w:val="23"/>
        </w:numPr>
        <w:tabs>
          <w:tab w:val="left" w:pos="2441"/>
          <w:tab w:val="left" w:pos="2442"/>
        </w:tabs>
        <w:autoSpaceDE w:val="0"/>
        <w:autoSpaceDN w:val="0"/>
        <w:spacing w:after="240" w:line="270" w:lineRule="exact"/>
        <w:rPr>
          <w:rFonts w:ascii="Arial Narrow" w:hAnsi="Arial Narrow"/>
          <w:b/>
          <w:sz w:val="24"/>
          <w:lang w:val="es-MX"/>
        </w:rPr>
      </w:pPr>
      <w:r w:rsidRPr="0086045B">
        <w:rPr>
          <w:rFonts w:ascii="Arial Narrow" w:hAnsi="Arial Narrow"/>
          <w:b/>
          <w:sz w:val="24"/>
          <w:lang w:val="es-MX"/>
        </w:rPr>
        <w:t>PLIEGO DE MODIFICACIONES</w:t>
      </w:r>
    </w:p>
    <w:tbl>
      <w:tblPr>
        <w:tblStyle w:val="Tablaconcuadrcula"/>
        <w:tblW w:w="10207" w:type="dxa"/>
        <w:tblInd w:w="-714" w:type="dxa"/>
        <w:tblLook w:val="04A0" w:firstRow="1" w:lastRow="0" w:firstColumn="1" w:lastColumn="0" w:noHBand="0" w:noVBand="1"/>
      </w:tblPr>
      <w:tblGrid>
        <w:gridCol w:w="3827"/>
        <w:gridCol w:w="3828"/>
        <w:gridCol w:w="2552"/>
      </w:tblGrid>
      <w:tr w:rsidR="009E1B71" w:rsidRPr="001835CF" w14:paraId="295103BF" w14:textId="77777777" w:rsidTr="001835CF">
        <w:trPr>
          <w:trHeight w:val="665"/>
        </w:trPr>
        <w:tc>
          <w:tcPr>
            <w:tcW w:w="3827" w:type="dxa"/>
          </w:tcPr>
          <w:p w14:paraId="4CC3565F" w14:textId="24BD5F8D" w:rsidR="009E1B71" w:rsidRPr="001835CF" w:rsidRDefault="009E1B71" w:rsidP="009E1B71">
            <w:pPr>
              <w:spacing w:line="276" w:lineRule="auto"/>
              <w:jc w:val="both"/>
              <w:rPr>
                <w:rFonts w:ascii="Arial Narrow" w:eastAsia="Arial Narrow" w:hAnsi="Arial Narrow" w:cs="Arial Narrow"/>
              </w:rPr>
            </w:pPr>
            <w:r w:rsidRPr="001835CF">
              <w:rPr>
                <w:rFonts w:ascii="Arial Narrow" w:eastAsia="Arial Narrow" w:hAnsi="Arial Narrow" w:cs="Arial Narrow"/>
                <w:b/>
              </w:rPr>
              <w:t>Artículo 53:</w:t>
            </w:r>
            <w:r w:rsidRPr="001835CF">
              <w:rPr>
                <w:rFonts w:ascii="Arial Narrow" w:eastAsia="Arial Narrow" w:hAnsi="Arial Narrow" w:cs="Arial Narrow"/>
              </w:rPr>
              <w:t xml:space="preserve"> El Ministerio de Educación a través de las Secretarias de Educación implementarán dentro de la autonomía establecida en el Artículo 77 de la Ley 115 de 1994 o norma que la modifique o sustituya de las instituciones educativas programas, cátedras y campañas formativas y de socialización sobre la prevención y efectos nocivos del uso de sustancias psicoactivas.</w:t>
            </w:r>
          </w:p>
          <w:p w14:paraId="7B121BFC" w14:textId="3925735F" w:rsidR="009E1B71" w:rsidRPr="001835CF" w:rsidRDefault="009E1B71" w:rsidP="009E1B71">
            <w:pPr>
              <w:spacing w:line="276" w:lineRule="auto"/>
              <w:jc w:val="both"/>
              <w:rPr>
                <w:rFonts w:ascii="Arial Narrow" w:eastAsia="Arial Narrow" w:hAnsi="Arial Narrow" w:cs="Arial Narrow"/>
              </w:rPr>
            </w:pPr>
            <w:r w:rsidRPr="001835CF">
              <w:rPr>
                <w:rFonts w:ascii="Arial Narrow" w:eastAsia="Arial Narrow" w:hAnsi="Arial Narrow" w:cs="Arial Narrow"/>
                <w:b/>
              </w:rPr>
              <w:t xml:space="preserve">Parágrafo: </w:t>
            </w:r>
            <w:r w:rsidRPr="001835CF">
              <w:rPr>
                <w:rFonts w:ascii="Arial Narrow" w:eastAsia="Arial Narrow" w:hAnsi="Arial Narrow" w:cs="Arial Narrow"/>
              </w:rPr>
              <w:t>El Ministerio de Educación Nacional o la entidad que determine la ley, vigilará la implementación y cumplimiento de este artículo.</w:t>
            </w:r>
          </w:p>
        </w:tc>
        <w:tc>
          <w:tcPr>
            <w:tcW w:w="3828" w:type="dxa"/>
          </w:tcPr>
          <w:p w14:paraId="6E858F1C" w14:textId="252603D4" w:rsidR="009E1B71" w:rsidRPr="001835CF" w:rsidRDefault="009E1B71" w:rsidP="009E1B71">
            <w:pPr>
              <w:spacing w:line="276" w:lineRule="auto"/>
              <w:jc w:val="both"/>
              <w:rPr>
                <w:rFonts w:ascii="Arial Narrow" w:eastAsia="Arial Narrow" w:hAnsi="Arial Narrow" w:cs="Arial Narrow"/>
              </w:rPr>
            </w:pPr>
            <w:r w:rsidRPr="001835CF">
              <w:rPr>
                <w:rFonts w:ascii="Arial Narrow" w:eastAsia="Arial Narrow" w:hAnsi="Arial Narrow" w:cs="Arial Narrow"/>
                <w:b/>
              </w:rPr>
              <w:t xml:space="preserve">Artículo </w:t>
            </w:r>
            <w:r w:rsidR="00FA510A" w:rsidRPr="001835CF">
              <w:rPr>
                <w:rFonts w:ascii="Arial Narrow" w:eastAsia="Arial Narrow" w:hAnsi="Arial Narrow" w:cs="Arial Narrow"/>
                <w:strike/>
              </w:rPr>
              <w:t>53</w:t>
            </w:r>
            <w:r w:rsidR="00FA510A" w:rsidRPr="001835CF">
              <w:rPr>
                <w:rFonts w:ascii="Arial Narrow" w:eastAsia="Arial Narrow" w:hAnsi="Arial Narrow" w:cs="Arial Narrow"/>
              </w:rPr>
              <w:t xml:space="preserve"> </w:t>
            </w:r>
            <w:r w:rsidRPr="001835CF">
              <w:rPr>
                <w:rFonts w:ascii="Arial Narrow" w:eastAsia="Arial Narrow" w:hAnsi="Arial Narrow" w:cs="Arial Narrow"/>
                <w:b/>
                <w:u w:val="single"/>
              </w:rPr>
              <w:t>52</w:t>
            </w:r>
            <w:r w:rsidRPr="001835CF">
              <w:rPr>
                <w:rFonts w:ascii="Arial Narrow" w:eastAsia="Arial Narrow" w:hAnsi="Arial Narrow" w:cs="Arial Narrow"/>
                <w:b/>
              </w:rPr>
              <w:t>:</w:t>
            </w:r>
            <w:r w:rsidRPr="001835CF">
              <w:rPr>
                <w:rFonts w:ascii="Arial Narrow" w:eastAsia="Arial Narrow" w:hAnsi="Arial Narrow" w:cs="Arial Narrow"/>
              </w:rPr>
              <w:t xml:space="preserve"> El Ministerio de Educación</w:t>
            </w:r>
            <w:r w:rsidR="00FA510A" w:rsidRPr="001835CF">
              <w:rPr>
                <w:rFonts w:ascii="Arial Narrow" w:eastAsia="Arial Narrow" w:hAnsi="Arial Narrow" w:cs="Arial Narrow"/>
                <w:b/>
                <w:u w:val="single"/>
              </w:rPr>
              <w:t>,</w:t>
            </w:r>
            <w:r w:rsidRPr="001835CF">
              <w:rPr>
                <w:rFonts w:ascii="Arial Narrow" w:eastAsia="Arial Narrow" w:hAnsi="Arial Narrow" w:cs="Arial Narrow"/>
              </w:rPr>
              <w:t xml:space="preserve"> a través de las Secretarias de Educación</w:t>
            </w:r>
            <w:r w:rsidR="00FA510A" w:rsidRPr="001835CF">
              <w:rPr>
                <w:rFonts w:ascii="Arial Narrow" w:eastAsia="Arial Narrow" w:hAnsi="Arial Narrow" w:cs="Arial Narrow"/>
                <w:b/>
                <w:u w:val="single"/>
              </w:rPr>
              <w:t>,</w:t>
            </w:r>
            <w:r w:rsidRPr="001835CF">
              <w:rPr>
                <w:rFonts w:ascii="Arial Narrow" w:eastAsia="Arial Narrow" w:hAnsi="Arial Narrow" w:cs="Arial Narrow"/>
              </w:rPr>
              <w:t xml:space="preserve"> implementarán</w:t>
            </w:r>
            <w:r w:rsidR="00FA510A" w:rsidRPr="001835CF">
              <w:rPr>
                <w:rFonts w:ascii="Arial Narrow" w:eastAsia="Arial Narrow" w:hAnsi="Arial Narrow" w:cs="Arial Narrow"/>
                <w:b/>
                <w:u w:val="single"/>
              </w:rPr>
              <w:t>,</w:t>
            </w:r>
            <w:r w:rsidRPr="001835CF">
              <w:rPr>
                <w:rFonts w:ascii="Arial Narrow" w:eastAsia="Arial Narrow" w:hAnsi="Arial Narrow" w:cs="Arial Narrow"/>
              </w:rPr>
              <w:t xml:space="preserve"> dentro de la autonomía</w:t>
            </w:r>
            <w:r w:rsidR="00FA510A" w:rsidRPr="001835CF">
              <w:rPr>
                <w:rFonts w:ascii="Arial Narrow" w:eastAsia="Arial Narrow" w:hAnsi="Arial Narrow" w:cs="Arial Narrow"/>
                <w:b/>
              </w:rPr>
              <w:t xml:space="preserve"> </w:t>
            </w:r>
            <w:r w:rsidR="00FA510A" w:rsidRPr="001835CF">
              <w:rPr>
                <w:rFonts w:ascii="Arial Narrow" w:eastAsia="Arial Narrow" w:hAnsi="Arial Narrow" w:cs="Arial Narrow"/>
                <w:b/>
                <w:u w:val="single"/>
              </w:rPr>
              <w:t>de las instituciones educativas</w:t>
            </w:r>
            <w:r w:rsidRPr="001835CF">
              <w:rPr>
                <w:rFonts w:ascii="Arial Narrow" w:eastAsia="Arial Narrow" w:hAnsi="Arial Narrow" w:cs="Arial Narrow"/>
                <w:b/>
              </w:rPr>
              <w:t xml:space="preserve"> </w:t>
            </w:r>
            <w:r w:rsidRPr="001835CF">
              <w:rPr>
                <w:rFonts w:ascii="Arial Narrow" w:eastAsia="Arial Narrow" w:hAnsi="Arial Narrow" w:cs="Arial Narrow"/>
              </w:rPr>
              <w:t>establecida en el Artículo 77 de la Ley 115 de 1994 o norma que la modifique o sustituya</w:t>
            </w:r>
            <w:r w:rsidR="00FA510A" w:rsidRPr="001835CF">
              <w:rPr>
                <w:rFonts w:ascii="Arial Narrow" w:eastAsia="Arial Narrow" w:hAnsi="Arial Narrow" w:cs="Arial Narrow"/>
                <w:b/>
                <w:u w:val="single"/>
              </w:rPr>
              <w:t>,</w:t>
            </w:r>
            <w:r w:rsidRPr="001835CF">
              <w:rPr>
                <w:rFonts w:ascii="Arial Narrow" w:eastAsia="Arial Narrow" w:hAnsi="Arial Narrow" w:cs="Arial Narrow"/>
              </w:rPr>
              <w:t xml:space="preserve"> </w:t>
            </w:r>
            <w:r w:rsidRPr="001835CF">
              <w:rPr>
                <w:rFonts w:ascii="Arial Narrow" w:eastAsia="Arial Narrow" w:hAnsi="Arial Narrow" w:cs="Arial Narrow"/>
                <w:strike/>
              </w:rPr>
              <w:t>de las instituciones educativas</w:t>
            </w:r>
            <w:r w:rsidRPr="001835CF">
              <w:rPr>
                <w:rFonts w:ascii="Arial Narrow" w:eastAsia="Arial Narrow" w:hAnsi="Arial Narrow" w:cs="Arial Narrow"/>
              </w:rPr>
              <w:t xml:space="preserve"> programas, cátedras y campañas formativas y de socialización sobre la prevención y efectos nocivos del uso de sustancias psicoactivas.</w:t>
            </w:r>
          </w:p>
          <w:p w14:paraId="00C893F4" w14:textId="193756F2" w:rsidR="009E1B71" w:rsidRPr="001835CF" w:rsidRDefault="009E1B71" w:rsidP="009E1B71">
            <w:pPr>
              <w:spacing w:line="276" w:lineRule="auto"/>
              <w:jc w:val="both"/>
              <w:rPr>
                <w:rFonts w:ascii="Arial Narrow" w:eastAsia="Arial Narrow" w:hAnsi="Arial Narrow" w:cs="Arial Narrow"/>
              </w:rPr>
            </w:pPr>
            <w:r w:rsidRPr="001835CF">
              <w:rPr>
                <w:rFonts w:ascii="Arial Narrow" w:eastAsia="Arial Narrow" w:hAnsi="Arial Narrow" w:cs="Arial Narrow"/>
                <w:b/>
              </w:rPr>
              <w:t xml:space="preserve">Parágrafo: </w:t>
            </w:r>
            <w:r w:rsidRPr="001835CF">
              <w:rPr>
                <w:rFonts w:ascii="Arial Narrow" w:eastAsia="Arial Narrow" w:hAnsi="Arial Narrow" w:cs="Arial Narrow"/>
              </w:rPr>
              <w:t>El Ministerio de Educación Nacional</w:t>
            </w:r>
            <w:r w:rsidR="00FA510A" w:rsidRPr="001835CF">
              <w:rPr>
                <w:rFonts w:ascii="Arial Narrow" w:eastAsia="Arial Narrow" w:hAnsi="Arial Narrow" w:cs="Arial Narrow"/>
                <w:b/>
                <w:u w:val="single"/>
              </w:rPr>
              <w:t>,</w:t>
            </w:r>
            <w:r w:rsidRPr="001835CF">
              <w:rPr>
                <w:rFonts w:ascii="Arial Narrow" w:eastAsia="Arial Narrow" w:hAnsi="Arial Narrow" w:cs="Arial Narrow"/>
              </w:rPr>
              <w:t xml:space="preserve"> o la entidad que determine la ley, vigilará la implementación y cumplimiento de este artículo.</w:t>
            </w:r>
          </w:p>
        </w:tc>
        <w:tc>
          <w:tcPr>
            <w:tcW w:w="2552" w:type="dxa"/>
          </w:tcPr>
          <w:p w14:paraId="29E09F6E" w14:textId="241E02C2" w:rsidR="009E1B71" w:rsidRPr="001835CF" w:rsidRDefault="00FA510A" w:rsidP="00FA510A">
            <w:pPr>
              <w:spacing w:line="276" w:lineRule="auto"/>
              <w:jc w:val="both"/>
              <w:rPr>
                <w:rFonts w:ascii="Arial Narrow" w:hAnsi="Arial Narrow"/>
                <w:color w:val="000000"/>
              </w:rPr>
            </w:pPr>
            <w:r w:rsidRPr="001835CF">
              <w:rPr>
                <w:rFonts w:ascii="Arial Narrow" w:eastAsia="Arial Narrow" w:hAnsi="Arial Narrow" w:cs="Arial Narrow"/>
              </w:rPr>
              <w:t xml:space="preserve">Se ajusta el número de artículo. </w:t>
            </w:r>
            <w:r w:rsidRPr="001835CF">
              <w:rPr>
                <w:rFonts w:ascii="Arial Narrow" w:eastAsia="Arial Narrow" w:hAnsi="Arial Narrow" w:cs="Arial Narrow"/>
              </w:rPr>
              <w:br/>
              <w:t>Se mejora la redacción.</w:t>
            </w:r>
          </w:p>
        </w:tc>
      </w:tr>
      <w:tr w:rsidR="009E1B71" w:rsidRPr="001835CF" w14:paraId="1C711111" w14:textId="77777777" w:rsidTr="001835CF">
        <w:trPr>
          <w:trHeight w:val="1275"/>
        </w:trPr>
        <w:tc>
          <w:tcPr>
            <w:tcW w:w="3827" w:type="dxa"/>
          </w:tcPr>
          <w:p w14:paraId="26D44E10" w14:textId="408C629B" w:rsidR="009E1B71" w:rsidRPr="001835CF" w:rsidRDefault="009E1B71" w:rsidP="00FA510A">
            <w:pPr>
              <w:spacing w:line="276" w:lineRule="auto"/>
              <w:jc w:val="both"/>
              <w:rPr>
                <w:rFonts w:ascii="Arial Narrow" w:hAnsi="Arial Narrow"/>
              </w:rPr>
            </w:pPr>
            <w:r w:rsidRPr="001835CF">
              <w:rPr>
                <w:rFonts w:ascii="Arial Narrow" w:hAnsi="Arial Narrow"/>
                <w:b/>
              </w:rPr>
              <w:t>Artículo 5</w:t>
            </w:r>
            <w:r w:rsidR="00FA510A" w:rsidRPr="001835CF">
              <w:rPr>
                <w:rFonts w:ascii="Arial Narrow" w:hAnsi="Arial Narrow"/>
                <w:b/>
              </w:rPr>
              <w:t>4</w:t>
            </w:r>
            <w:r w:rsidRPr="001835CF">
              <w:rPr>
                <w:rFonts w:ascii="Arial Narrow" w:hAnsi="Arial Narrow"/>
                <w:b/>
              </w:rPr>
              <w:t>. Fomento del trabajo asociativo.</w:t>
            </w:r>
            <w:r w:rsidRPr="001835CF">
              <w:rPr>
                <w:rFonts w:ascii="Arial Narrow" w:hAnsi="Arial Narrow"/>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tc>
        <w:tc>
          <w:tcPr>
            <w:tcW w:w="3828" w:type="dxa"/>
          </w:tcPr>
          <w:p w14:paraId="39C385D8" w14:textId="2FA3B781" w:rsidR="009E1B71" w:rsidRPr="001835CF" w:rsidRDefault="009E1B71" w:rsidP="001835CF">
            <w:pPr>
              <w:spacing w:line="276" w:lineRule="auto"/>
              <w:jc w:val="both"/>
              <w:rPr>
                <w:rFonts w:ascii="Arial Narrow" w:eastAsia="Arial Narrow" w:hAnsi="Arial Narrow" w:cs="Arial Narrow"/>
              </w:rPr>
            </w:pPr>
            <w:r w:rsidRPr="001835CF">
              <w:rPr>
                <w:rFonts w:ascii="Arial Narrow" w:eastAsia="Arial Narrow" w:hAnsi="Arial Narrow" w:cs="Arial Narrow"/>
                <w:b/>
              </w:rPr>
              <w:t xml:space="preserve">Artículo </w:t>
            </w:r>
            <w:r w:rsidR="00FA510A" w:rsidRPr="001835CF">
              <w:rPr>
                <w:rFonts w:ascii="Arial Narrow" w:hAnsi="Arial Narrow"/>
                <w:strike/>
              </w:rPr>
              <w:t>54</w:t>
            </w:r>
            <w:r w:rsidR="001835CF" w:rsidRPr="001835CF">
              <w:rPr>
                <w:rFonts w:ascii="Arial Narrow" w:hAnsi="Arial Narrow"/>
              </w:rPr>
              <w:t xml:space="preserve"> </w:t>
            </w:r>
            <w:r w:rsidRPr="001835CF">
              <w:rPr>
                <w:rFonts w:ascii="Arial Narrow" w:eastAsia="Arial Narrow" w:hAnsi="Arial Narrow" w:cs="Arial Narrow"/>
                <w:b/>
                <w:u w:val="single"/>
              </w:rPr>
              <w:t>53</w:t>
            </w:r>
            <w:r w:rsidRPr="001835CF">
              <w:rPr>
                <w:rFonts w:ascii="Arial Narrow" w:eastAsia="Arial Narrow" w:hAnsi="Arial Narrow" w:cs="Arial Narrow"/>
                <w:b/>
              </w:rPr>
              <w:t>. Fomento del trabajo asociativo.</w:t>
            </w:r>
            <w:r w:rsidRPr="001835CF">
              <w:rPr>
                <w:rFonts w:ascii="Arial Narrow" w:eastAsia="Arial Narrow" w:hAnsi="Arial Narrow" w:cs="Arial Narrow"/>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tc>
        <w:tc>
          <w:tcPr>
            <w:tcW w:w="2552" w:type="dxa"/>
          </w:tcPr>
          <w:p w14:paraId="1CF274A1" w14:textId="68C16D16" w:rsidR="009E1B71" w:rsidRPr="001835CF" w:rsidRDefault="00FA510A" w:rsidP="009E1B71">
            <w:pPr>
              <w:rPr>
                <w:rFonts w:ascii="Arial Narrow" w:hAnsi="Arial Narrow"/>
                <w:color w:val="000000"/>
              </w:rPr>
            </w:pPr>
            <w:r w:rsidRPr="001835CF">
              <w:rPr>
                <w:rFonts w:ascii="Arial Narrow" w:eastAsia="Arial Narrow" w:hAnsi="Arial Narrow" w:cs="Arial Narrow"/>
              </w:rPr>
              <w:t>Se ajusta el número de artículo.</w:t>
            </w:r>
          </w:p>
        </w:tc>
      </w:tr>
    </w:tbl>
    <w:p w14:paraId="15D3C6E2" w14:textId="40FEA6BB"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044F2409" w14:textId="77777777" w:rsidR="009E1B71" w:rsidRDefault="009E1B71"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788178FB" w14:textId="77777777" w:rsidR="0086045B" w:rsidRDefault="0086045B" w:rsidP="0086045B">
      <w:pPr>
        <w:pStyle w:val="Prrafodelista"/>
        <w:widowControl w:val="0"/>
        <w:numPr>
          <w:ilvl w:val="0"/>
          <w:numId w:val="24"/>
        </w:numPr>
        <w:tabs>
          <w:tab w:val="left" w:pos="2441"/>
          <w:tab w:val="left" w:pos="2442"/>
        </w:tabs>
        <w:autoSpaceDE w:val="0"/>
        <w:autoSpaceDN w:val="0"/>
        <w:spacing w:after="240" w:line="270" w:lineRule="exact"/>
        <w:rPr>
          <w:rFonts w:ascii="Arial Narrow" w:hAnsi="Arial Narrow"/>
          <w:b/>
          <w:sz w:val="24"/>
          <w:lang w:val="es-MX"/>
        </w:rPr>
      </w:pPr>
      <w:r w:rsidRPr="00BB6739">
        <w:rPr>
          <w:rFonts w:ascii="Arial Narrow" w:hAnsi="Arial Narrow"/>
          <w:b/>
          <w:sz w:val="24"/>
          <w:lang w:val="es-MX"/>
        </w:rPr>
        <w:t>CONFLICTO DE INTERESES</w:t>
      </w:r>
    </w:p>
    <w:p w14:paraId="1A0B2DD2"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Dando alcance a lo establecido en el artículo 3 de la Ley 2003 de 2019 "</w:t>
      </w:r>
      <w:r w:rsidRPr="006952A9">
        <w:rPr>
          <w:rFonts w:ascii="Arial Narrow" w:eastAsia="Arial Narrow" w:hAnsi="Arial Narrow" w:cs="Arial Narrow"/>
          <w:i/>
          <w:sz w:val="24"/>
          <w:szCs w:val="24"/>
        </w:rPr>
        <w:t>Por la cual se modifica parcialmente la Ley 5 de 1992</w:t>
      </w:r>
      <w:r w:rsidRPr="006952A9">
        <w:rPr>
          <w:rFonts w:ascii="Arial Narrow" w:eastAsia="Arial Narrow" w:hAnsi="Arial Narrow" w:cs="Arial Narrow"/>
          <w:sz w:val="24"/>
          <w:szCs w:val="24"/>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39E995D9" w14:textId="77777777" w:rsidR="0086045B" w:rsidRPr="006952A9" w:rsidRDefault="0086045B" w:rsidP="0086045B">
      <w:pPr>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ARTÍCULO 286. Régimen de conflicto de interés de los congresistas</w:t>
      </w:r>
      <w:r w:rsidRPr="006952A9">
        <w:rPr>
          <w:rFonts w:ascii="Arial Narrow" w:eastAsia="Arial Narrow" w:hAnsi="Arial Narrow" w:cs="Arial Narrow"/>
          <w:i/>
          <w:sz w:val="24"/>
          <w:szCs w:val="24"/>
        </w:rPr>
        <w:t>. Todos los congresistas deberán declarar los conflictos de intereses que pudieran surgir en el ejercicio de sus funciones.</w:t>
      </w:r>
    </w:p>
    <w:p w14:paraId="51268763" w14:textId="77777777" w:rsidR="0086045B" w:rsidRPr="006952A9" w:rsidRDefault="0086045B" w:rsidP="0086045B">
      <w:pPr>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Se entiende como conflicto de interés una situación donde la discusión o votación de un proyecto de ley o acto legislativo o artículo, pueda resultar en un beneficio particular, actual y directo a favor del congresista.</w:t>
      </w:r>
    </w:p>
    <w:p w14:paraId="4E24CDD6"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4F961A8"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b) Beneficio actual: aquel que efectivamente se configura en las circunstancias presentes y existentes al momento en el que el congresista participa de la decisión</w:t>
      </w:r>
    </w:p>
    <w:p w14:paraId="1E245ED9"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14:paraId="74576533"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Sobre el asunto la sala plena Contenciosa Administrativa del Honorable Consejo de Estado en su sentencia 02830 del 16 de julio de 2019, M.P. Carlos Enrique Moreno Rubio, señaló que: </w:t>
      </w:r>
    </w:p>
    <w:p w14:paraId="57D24279"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384CF9FE" w14:textId="77777777" w:rsidR="0086045B" w:rsidRPr="00C750D0" w:rsidRDefault="0086045B" w:rsidP="0086045B">
      <w:pPr>
        <w:widowControl w:val="0"/>
        <w:tabs>
          <w:tab w:val="left" w:pos="2441"/>
          <w:tab w:val="left" w:pos="2442"/>
        </w:tabs>
        <w:autoSpaceDE w:val="0"/>
        <w:autoSpaceDN w:val="0"/>
        <w:spacing w:after="240" w:line="270" w:lineRule="exact"/>
        <w:rPr>
          <w:rFonts w:ascii="Arial Narrow" w:hAnsi="Arial Narrow"/>
          <w:b/>
          <w:sz w:val="24"/>
          <w:lang w:val="es-MX"/>
        </w:rPr>
      </w:pPr>
      <w:r w:rsidRPr="18CE227D">
        <w:rPr>
          <w:rFonts w:ascii="Arial Narrow" w:eastAsia="Arial Narrow" w:hAnsi="Arial Narrow" w:cs="Arial Narrow"/>
          <w:sz w:val="24"/>
          <w:szCs w:val="24"/>
        </w:rPr>
        <w:t xml:space="preserve">Por lo anterior, se estima que el presente proyecto de ley no genera un beneficio para los congresistas que participen en su discusión y votación, puesto que se trata de una ley de interés general sobre un tema que actualmente no se encuentra regulado de ninguna manera. </w:t>
      </w:r>
    </w:p>
    <w:p w14:paraId="7C1F5D89" w14:textId="77777777" w:rsidR="0086045B" w:rsidRDefault="0086045B" w:rsidP="0086045B">
      <w:pPr>
        <w:pStyle w:val="Prrafodelista"/>
        <w:widowControl w:val="0"/>
        <w:numPr>
          <w:ilvl w:val="0"/>
          <w:numId w:val="24"/>
        </w:numPr>
        <w:tabs>
          <w:tab w:val="left" w:pos="2441"/>
          <w:tab w:val="left" w:pos="2442"/>
        </w:tabs>
        <w:autoSpaceDE w:val="0"/>
        <w:autoSpaceDN w:val="0"/>
        <w:spacing w:after="240" w:line="270" w:lineRule="exact"/>
        <w:rPr>
          <w:rFonts w:ascii="Arial Narrow" w:hAnsi="Arial Narrow"/>
          <w:b/>
          <w:sz w:val="24"/>
          <w:lang w:val="es-MX"/>
        </w:rPr>
      </w:pPr>
      <w:r w:rsidRPr="00BB6739">
        <w:rPr>
          <w:rFonts w:ascii="Arial Narrow" w:hAnsi="Arial Narrow"/>
          <w:b/>
          <w:sz w:val="24"/>
          <w:lang w:val="es-MX"/>
        </w:rPr>
        <w:t>IMPACTO FISCAL</w:t>
      </w:r>
    </w:p>
    <w:p w14:paraId="5A544FEC"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Art. 7º de la Ley 819 de 2003, por la cual se dictan normas orgánicas en materia de presupuesto, responsabilidad y transparencia fiscal y se dictan otras disposiciones, establece:</w:t>
      </w:r>
    </w:p>
    <w:p w14:paraId="6F8AF403"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Artículo 7º.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40C00AC8"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Para estos propósitos, deberá incluirse expresamente en la exposición de motivos y en las ponencias de trámite respectivas los costos fiscales de la iniciativa y la fuente de ingreso adicional generada para el financiamiento de dicho costo.</w:t>
      </w:r>
    </w:p>
    <w:p w14:paraId="226A5F84"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 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65DF2205"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Sobre la materia la Corte Constitucional se ha pronunciado en diferentes sentencias. La Sentencia C-502 de 2007 expresó que los requisitos establecidos en el artículo se constituyen como instrumentos de racionalización de la actividad legislativa, pero que no pueden limitar el ejercicio de la función legislativa por parte del Congreso de la República ni pueden otorgar un poder de veto al Ministerio de Hacienda y Crédito Público en relación con el trámite y aprobación de los proyectos de ley, pues ello vulneraría la autonomía del legislador y el principio de separación de las ramas del poder público. Así mismo, señaló que es el Ministerio de Hacienda y Crédito Público el principal responsable de cumplir los requisitos establecidos en el artículo 7 de la Ley 819 de 2003:</w:t>
      </w:r>
    </w:p>
    <w:p w14:paraId="3C28F634"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0A7A014F" w14:textId="77777777" w:rsidR="0086045B" w:rsidRPr="00C750D0" w:rsidRDefault="0086045B" w:rsidP="0086045B">
      <w:pPr>
        <w:widowControl w:val="0"/>
        <w:tabs>
          <w:tab w:val="left" w:pos="2441"/>
          <w:tab w:val="left" w:pos="2442"/>
        </w:tabs>
        <w:autoSpaceDE w:val="0"/>
        <w:autoSpaceDN w:val="0"/>
        <w:spacing w:after="240" w:line="270" w:lineRule="exact"/>
        <w:jc w:val="both"/>
        <w:rPr>
          <w:rFonts w:ascii="Arial Narrow" w:hAnsi="Arial Narrow"/>
          <w:b/>
          <w:bCs/>
          <w:sz w:val="24"/>
          <w:szCs w:val="24"/>
          <w:lang w:val="es-MX"/>
        </w:rPr>
      </w:pPr>
      <w:r w:rsidRPr="18CE227D">
        <w:rPr>
          <w:rFonts w:ascii="Arial Narrow" w:eastAsia="Arial Narrow" w:hAnsi="Arial Narrow" w:cs="Arial Narrow"/>
          <w:sz w:val="24"/>
          <w:szCs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0590F411" w14:textId="77777777" w:rsidR="0086045B" w:rsidRDefault="0086045B" w:rsidP="0086045B">
      <w:pPr>
        <w:widowControl w:val="0"/>
        <w:tabs>
          <w:tab w:val="left" w:pos="2441"/>
          <w:tab w:val="left" w:pos="2442"/>
        </w:tabs>
        <w:spacing w:after="240" w:line="270" w:lineRule="exact"/>
        <w:jc w:val="both"/>
        <w:rPr>
          <w:rFonts w:ascii="Arial Narrow" w:eastAsia="Arial Narrow" w:hAnsi="Arial Narrow" w:cs="Arial Narrow"/>
          <w:sz w:val="24"/>
          <w:szCs w:val="24"/>
        </w:rPr>
      </w:pPr>
      <w:r w:rsidRPr="18CE227D">
        <w:rPr>
          <w:rFonts w:ascii="Arial Narrow" w:eastAsia="Arial Narrow" w:hAnsi="Arial Narrow" w:cs="Arial Narrow"/>
          <w:sz w:val="24"/>
          <w:szCs w:val="24"/>
        </w:rPr>
        <w:t>En consecuencia, es de aclarar que el presente proyecto de Ley no ocasiona un gasto del erario público en su adopción e implementación. Los costos de los mecanismos regulatorios tal como se contempla en el texto propuesto serán asumidos con recursos derivados de nuevas recaudaciones, de tal forma que el impacto fiscal es favorable para el Estado, más allá de los beneficios que en materia de salud pública, reducción de la criminalidad, inclusión social, cuidado y protección ella contiene.</w:t>
      </w:r>
    </w:p>
    <w:p w14:paraId="24EFE4C7" w14:textId="77777777" w:rsidR="0086045B" w:rsidRDefault="0086045B" w:rsidP="0086045B">
      <w:pPr>
        <w:pStyle w:val="Prrafodelista"/>
        <w:widowControl w:val="0"/>
        <w:numPr>
          <w:ilvl w:val="0"/>
          <w:numId w:val="24"/>
        </w:numPr>
        <w:tabs>
          <w:tab w:val="left" w:pos="2441"/>
          <w:tab w:val="left" w:pos="2442"/>
        </w:tabs>
        <w:autoSpaceDE w:val="0"/>
        <w:autoSpaceDN w:val="0"/>
        <w:spacing w:after="240" w:line="270" w:lineRule="exact"/>
        <w:rPr>
          <w:rFonts w:ascii="Arial Narrow" w:hAnsi="Arial Narrow"/>
          <w:b/>
          <w:sz w:val="24"/>
          <w:lang w:val="es-MX"/>
        </w:rPr>
      </w:pPr>
      <w:r w:rsidRPr="00C750D0">
        <w:rPr>
          <w:rFonts w:ascii="Arial Narrow" w:hAnsi="Arial Narrow"/>
          <w:b/>
          <w:sz w:val="24"/>
          <w:lang w:val="es-MX"/>
        </w:rPr>
        <w:t>PROPOSICIÓN</w:t>
      </w:r>
    </w:p>
    <w:p w14:paraId="22286D67" w14:textId="4AE527CA" w:rsidR="0086045B" w:rsidRDefault="0086045B" w:rsidP="0086045B">
      <w:pPr>
        <w:spacing w:after="0" w:line="240" w:lineRule="auto"/>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Con fundamento en las anteriores consideraciones y argumentos, en el marco de la Constitución Política y la ley, propongo a los Honorables Representantes de la Comisión Primera de la Cámara de Representantes dar </w:t>
      </w:r>
      <w:r>
        <w:rPr>
          <w:rFonts w:ascii="Arial Narrow" w:eastAsia="Arial Narrow" w:hAnsi="Arial Narrow" w:cs="Arial Narrow"/>
          <w:sz w:val="24"/>
          <w:szCs w:val="24"/>
        </w:rPr>
        <w:t>primer debate al Proyecto de Ley 248 de 2024</w:t>
      </w:r>
      <w:r w:rsidRPr="18CE227D">
        <w:rPr>
          <w:rFonts w:ascii="Arial Narrow" w:eastAsia="Arial Narrow" w:hAnsi="Arial Narrow" w:cs="Arial Narrow"/>
          <w:sz w:val="24"/>
          <w:szCs w:val="24"/>
        </w:rPr>
        <w:t xml:space="preserve"> Cámara “</w:t>
      </w:r>
      <w:r w:rsidRPr="0086045B">
        <w:rPr>
          <w:rFonts w:ascii="Arial Narrow" w:eastAsia="Arial Narrow" w:hAnsi="Arial Narrow" w:cs="Arial Narrow"/>
          <w:sz w:val="24"/>
          <w:szCs w:val="24"/>
        </w:rPr>
        <w:t>Por medio del cual se regula el cannabis de uso adulto y se dictan otras disposiciones</w:t>
      </w:r>
      <w:r>
        <w:rPr>
          <w:rFonts w:ascii="Arial Narrow" w:eastAsia="Arial Narrow" w:hAnsi="Arial Narrow" w:cs="Arial Narrow"/>
          <w:sz w:val="24"/>
          <w:szCs w:val="24"/>
        </w:rPr>
        <w:t>”</w:t>
      </w:r>
      <w:r w:rsidRPr="18CE227D">
        <w:rPr>
          <w:rFonts w:ascii="Arial Narrow" w:eastAsia="Arial Narrow" w:hAnsi="Arial Narrow" w:cs="Arial Narrow"/>
          <w:sz w:val="24"/>
          <w:szCs w:val="24"/>
        </w:rPr>
        <w:t xml:space="preserve"> de conformidad con el texto propuesto.</w:t>
      </w:r>
    </w:p>
    <w:p w14:paraId="03F9CA5C" w14:textId="77777777" w:rsidR="0086045B" w:rsidRDefault="0086045B" w:rsidP="0086045B">
      <w:pPr>
        <w:spacing w:after="0" w:line="240" w:lineRule="auto"/>
        <w:jc w:val="both"/>
        <w:rPr>
          <w:rFonts w:ascii="Arial Narrow" w:eastAsia="Arial Narrow" w:hAnsi="Arial Narrow" w:cs="Arial Narrow"/>
          <w:sz w:val="24"/>
          <w:szCs w:val="24"/>
        </w:rPr>
      </w:pPr>
    </w:p>
    <w:p w14:paraId="20D4D8E8" w14:textId="77777777" w:rsidR="0086045B" w:rsidRDefault="0086045B" w:rsidP="0086045B">
      <w:pPr>
        <w:spacing w:after="0" w:line="240" w:lineRule="auto"/>
        <w:jc w:val="both"/>
        <w:rPr>
          <w:rFonts w:ascii="Arial Narrow" w:eastAsia="Arial Narrow" w:hAnsi="Arial Narrow" w:cs="Arial Narrow"/>
          <w:sz w:val="24"/>
          <w:szCs w:val="24"/>
        </w:rPr>
      </w:pPr>
    </w:p>
    <w:p w14:paraId="2091F993" w14:textId="77777777" w:rsidR="0086045B" w:rsidRDefault="0086045B" w:rsidP="0086045B">
      <w:pPr>
        <w:spacing w:after="0" w:line="240" w:lineRule="auto"/>
        <w:jc w:val="both"/>
        <w:rPr>
          <w:rFonts w:ascii="Arial Narrow" w:eastAsia="Arial Narrow" w:hAnsi="Arial Narrow" w:cs="Arial Narrow"/>
          <w:sz w:val="24"/>
          <w:szCs w:val="24"/>
        </w:rPr>
      </w:pPr>
      <w:r w:rsidRPr="0086045B">
        <w:rPr>
          <w:rFonts w:ascii="Arial Narrow" w:eastAsia="Arial Narrow" w:hAnsi="Arial Narrow" w:cs="Arial Narrow"/>
          <w:sz w:val="24"/>
          <w:szCs w:val="24"/>
        </w:rPr>
        <w:t>Cordialmente,</w:t>
      </w:r>
      <w:r w:rsidRPr="006952A9">
        <w:rPr>
          <w:rFonts w:ascii="Arial Narrow" w:eastAsia="Arial Narrow" w:hAnsi="Arial Narrow" w:cs="Arial Narrow"/>
          <w:sz w:val="24"/>
          <w:szCs w:val="24"/>
        </w:rPr>
        <w:t xml:space="preserve"> </w:t>
      </w:r>
    </w:p>
    <w:p w14:paraId="1B204636"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403235DF"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614984F3"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5C7E4F6B"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74B9A059"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1049666E" w14:textId="77777777" w:rsidR="0086045B" w:rsidRP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6AEB333E" w14:textId="77777777" w:rsidR="00212D7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5C19D4F2" w14:textId="77777777" w:rsidR="0086045B" w:rsidRPr="006952A9" w:rsidRDefault="0086045B" w:rsidP="0086045B">
      <w:pPr>
        <w:pBdr>
          <w:top w:val="nil"/>
          <w:left w:val="nil"/>
          <w:bottom w:val="nil"/>
          <w:right w:val="nil"/>
          <w:between w:val="nil"/>
        </w:pBdr>
        <w:tabs>
          <w:tab w:val="left" w:pos="8754"/>
        </w:tabs>
        <w:spacing w:after="0" w:line="276" w:lineRule="auto"/>
        <w:ind w:left="7" w:right="84" w:hanging="7"/>
        <w:jc w:val="center"/>
        <w:rPr>
          <w:rFonts w:ascii="Arial Narrow" w:eastAsia="Arial Narrow" w:hAnsi="Arial Narrow" w:cs="Arial Narrow"/>
          <w:b/>
          <w:color w:val="000000"/>
        </w:rPr>
      </w:pPr>
      <w:r w:rsidRPr="006952A9">
        <w:rPr>
          <w:rFonts w:ascii="Arial Narrow" w:eastAsia="Arial Narrow" w:hAnsi="Arial Narrow" w:cs="Arial Narrow"/>
          <w:b/>
          <w:color w:val="000000"/>
        </w:rPr>
        <w:t>ALEJANDRO OCAMPO</w:t>
      </w:r>
      <w:r>
        <w:rPr>
          <w:rFonts w:ascii="Arial Narrow" w:eastAsia="Arial Narrow" w:hAnsi="Arial Narrow" w:cs="Arial Narrow"/>
          <w:b/>
          <w:color w:val="000000"/>
        </w:rPr>
        <w:t xml:space="preserve"> GIRALDO</w:t>
      </w:r>
    </w:p>
    <w:p w14:paraId="660B38D4" w14:textId="77777777" w:rsidR="00212D7F" w:rsidRPr="0086045B" w:rsidRDefault="0086045B" w:rsidP="0086045B">
      <w:pPr>
        <w:pBdr>
          <w:top w:val="nil"/>
          <w:left w:val="nil"/>
          <w:bottom w:val="nil"/>
          <w:right w:val="nil"/>
          <w:between w:val="nil"/>
        </w:pBdr>
        <w:tabs>
          <w:tab w:val="left" w:pos="8055"/>
        </w:tabs>
        <w:spacing w:after="0" w:line="276" w:lineRule="auto"/>
        <w:jc w:val="center"/>
        <w:rPr>
          <w:rFonts w:ascii="Arial Narrow" w:eastAsia="Arial Narrow" w:hAnsi="Arial Narrow" w:cs="Arial Narrow"/>
          <w:color w:val="000000"/>
        </w:rPr>
      </w:pPr>
      <w:r>
        <w:rPr>
          <w:rFonts w:ascii="Arial Narrow" w:eastAsia="Arial Narrow" w:hAnsi="Arial Narrow" w:cs="Arial Narrow"/>
          <w:color w:val="000000"/>
        </w:rPr>
        <w:t>Representante a la Cámara</w:t>
      </w:r>
    </w:p>
    <w:p w14:paraId="579012F4" w14:textId="77777777" w:rsidR="00212D7F" w:rsidRDefault="0086045B" w:rsidP="0086045B">
      <w:pPr>
        <w:pBdr>
          <w:top w:val="nil"/>
          <w:left w:val="nil"/>
          <w:bottom w:val="nil"/>
          <w:right w:val="nil"/>
          <w:between w:val="nil"/>
        </w:pBdr>
        <w:spacing w:after="0" w:line="276"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Valle del Cauca</w:t>
      </w:r>
    </w:p>
    <w:p w14:paraId="4D33F0BC" w14:textId="77777777" w:rsidR="00212D7F" w:rsidRDefault="00212D7F" w:rsidP="0086045B">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5CA72AD2" w14:textId="77777777" w:rsidR="00212D7F" w:rsidRDefault="00212D7F" w:rsidP="0086045B">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1422A1EB" w14:textId="77777777" w:rsidR="00212D7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FAA6FDE" w14:textId="77777777" w:rsidR="00212D7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189253AB" w14:textId="77777777" w:rsidR="0086045B" w:rsidRDefault="0086045B">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40A08D8E" w14:textId="77777777" w:rsidR="0086045B" w:rsidRDefault="0086045B">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2F180B9" w14:textId="09A59FAB" w:rsidR="0086045B" w:rsidRDefault="0086045B" w:rsidP="00FA510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5E40FD2" w14:textId="77777777" w:rsidR="0086045B" w:rsidRDefault="0086045B">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4179413" w14:textId="43CF5C95" w:rsidR="00730BAC" w:rsidRPr="00FA510A" w:rsidRDefault="0086045B" w:rsidP="00A25F1B">
      <w:pPr>
        <w:widowControl w:val="0"/>
        <w:numPr>
          <w:ilvl w:val="0"/>
          <w:numId w:val="26"/>
        </w:numPr>
        <w:pBdr>
          <w:top w:val="nil"/>
          <w:left w:val="nil"/>
          <w:bottom w:val="nil"/>
          <w:right w:val="nil"/>
          <w:between w:val="nil"/>
        </w:pBdr>
        <w:tabs>
          <w:tab w:val="left" w:pos="2441"/>
          <w:tab w:val="left" w:pos="2442"/>
        </w:tabs>
        <w:autoSpaceDE w:val="0"/>
        <w:autoSpaceDN w:val="0"/>
        <w:spacing w:after="240" w:line="270" w:lineRule="exact"/>
        <w:rPr>
          <w:rFonts w:ascii="Arial Narrow" w:eastAsia="Arial Narrow" w:hAnsi="Arial Narrow" w:cs="Arial Narrow"/>
          <w:b/>
          <w:color w:val="000000"/>
          <w:sz w:val="24"/>
          <w:szCs w:val="24"/>
        </w:rPr>
      </w:pPr>
      <w:r w:rsidRPr="00FA510A">
        <w:rPr>
          <w:rFonts w:ascii="Arial Narrow" w:hAnsi="Arial Narrow"/>
          <w:b/>
          <w:sz w:val="24"/>
          <w:lang w:val="es-MX"/>
        </w:rPr>
        <w:t xml:space="preserve">TEXTO PROPUESTO PARA PRIMER DEBATE </w:t>
      </w:r>
      <w:r w:rsidRPr="00FA510A">
        <w:rPr>
          <w:rFonts w:ascii="Arial Narrow" w:eastAsia="Arial Narrow" w:hAnsi="Arial Narrow" w:cs="Arial Narrow"/>
          <w:b/>
          <w:color w:val="000000"/>
          <w:sz w:val="24"/>
          <w:szCs w:val="24"/>
        </w:rPr>
        <w:t>DEL</w:t>
      </w:r>
      <w:r w:rsidR="00A25F1B" w:rsidRPr="00FA510A">
        <w:rPr>
          <w:rFonts w:ascii="Arial Narrow" w:eastAsia="Arial Narrow" w:hAnsi="Arial Narrow" w:cs="Arial Narrow"/>
          <w:b/>
          <w:color w:val="000000"/>
          <w:sz w:val="24"/>
          <w:szCs w:val="24"/>
        </w:rPr>
        <w:t xml:space="preserve"> </w:t>
      </w:r>
      <w:r w:rsidRPr="00FA510A">
        <w:rPr>
          <w:rFonts w:ascii="Arial Narrow" w:eastAsia="Arial Narrow" w:hAnsi="Arial Narrow" w:cs="Arial Narrow"/>
          <w:b/>
          <w:color w:val="000000"/>
          <w:sz w:val="24"/>
          <w:szCs w:val="24"/>
        </w:rPr>
        <w:t xml:space="preserve">PROYECTO DE LEY </w:t>
      </w:r>
      <w:r w:rsidR="00730BAC" w:rsidRPr="00FA510A">
        <w:rPr>
          <w:rFonts w:ascii="Arial Narrow" w:eastAsia="Arial Narrow" w:hAnsi="Arial Narrow" w:cs="Arial Narrow"/>
          <w:b/>
          <w:color w:val="000000"/>
          <w:sz w:val="24"/>
          <w:szCs w:val="24"/>
        </w:rPr>
        <w:t>248</w:t>
      </w:r>
      <w:r w:rsidRPr="00FA510A">
        <w:rPr>
          <w:rFonts w:ascii="Arial Narrow" w:eastAsia="Arial Narrow" w:hAnsi="Arial Narrow" w:cs="Arial Narrow"/>
          <w:b/>
          <w:color w:val="000000"/>
          <w:sz w:val="24"/>
          <w:szCs w:val="24"/>
        </w:rPr>
        <w:t xml:space="preserve"> DE 2022 </w:t>
      </w:r>
      <w:r w:rsidR="00730BAC" w:rsidRPr="00FA510A">
        <w:rPr>
          <w:rFonts w:ascii="Arial Narrow" w:eastAsia="Arial Narrow" w:hAnsi="Arial Narrow" w:cs="Arial Narrow"/>
          <w:b/>
          <w:color w:val="000000"/>
          <w:sz w:val="24"/>
          <w:szCs w:val="24"/>
        </w:rPr>
        <w:t>CÁMARA</w:t>
      </w:r>
    </w:p>
    <w:p w14:paraId="079861FD" w14:textId="77777777" w:rsidR="0086045B" w:rsidRPr="00FA510A" w:rsidRDefault="0086045B" w:rsidP="00730BAC">
      <w:pPr>
        <w:widowControl w:val="0"/>
        <w:pBdr>
          <w:top w:val="nil"/>
          <w:left w:val="nil"/>
          <w:bottom w:val="nil"/>
          <w:right w:val="nil"/>
          <w:between w:val="nil"/>
        </w:pBdr>
        <w:tabs>
          <w:tab w:val="left" w:pos="2441"/>
          <w:tab w:val="left" w:pos="2442"/>
        </w:tabs>
        <w:autoSpaceDE w:val="0"/>
        <w:autoSpaceDN w:val="0"/>
        <w:spacing w:after="240" w:line="270" w:lineRule="exact"/>
        <w:ind w:left="720"/>
        <w:jc w:val="center"/>
        <w:rPr>
          <w:rFonts w:ascii="Arial Narrow" w:hAnsi="Arial Narrow"/>
          <w:b/>
          <w:lang w:val="es-MX"/>
        </w:rPr>
      </w:pPr>
      <w:r w:rsidRPr="00FA510A">
        <w:rPr>
          <w:rFonts w:ascii="Arial Narrow" w:eastAsia="Arial Narrow" w:hAnsi="Arial Narrow" w:cs="Arial Narrow"/>
          <w:b/>
          <w:i/>
          <w:color w:val="000000"/>
          <w:sz w:val="24"/>
          <w:szCs w:val="24"/>
        </w:rPr>
        <w:t>“POR MEDIO DEL CUAL SE REGULA EL CANNABIS DE USO ADULTO Y SE DICTAN OTRAS DISPOSICIONES”.</w:t>
      </w:r>
      <w:bookmarkStart w:id="2" w:name="_heading=h.tyjcwt" w:colFirst="0" w:colLast="0"/>
      <w:bookmarkStart w:id="3" w:name="_heading=h.3dy6vkm" w:colFirst="0" w:colLast="0"/>
      <w:bookmarkEnd w:id="2"/>
      <w:bookmarkEnd w:id="3"/>
    </w:p>
    <w:p w14:paraId="7BF3EC84" w14:textId="77777777" w:rsidR="0086045B" w:rsidRPr="00FA510A" w:rsidRDefault="0086045B" w:rsidP="0086045B">
      <w:pPr>
        <w:spacing w:after="0"/>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EL CONGRESO DE LA REPÚBLICA DE COLOMBIA</w:t>
      </w:r>
    </w:p>
    <w:p w14:paraId="57C57A57" w14:textId="77777777" w:rsidR="0086045B" w:rsidRPr="00FA510A" w:rsidRDefault="0086045B" w:rsidP="0086045B">
      <w:pPr>
        <w:spacing w:after="0"/>
        <w:jc w:val="center"/>
        <w:rPr>
          <w:rFonts w:ascii="Arial Narrow" w:eastAsia="Arial Narrow" w:hAnsi="Arial Narrow" w:cs="Arial Narrow"/>
          <w:b/>
          <w:sz w:val="24"/>
          <w:szCs w:val="24"/>
        </w:rPr>
      </w:pPr>
    </w:p>
    <w:p w14:paraId="4DF33525" w14:textId="77777777" w:rsidR="0086045B" w:rsidRPr="00FA510A" w:rsidRDefault="0086045B" w:rsidP="0086045B">
      <w:pPr>
        <w:spacing w:after="0"/>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DECRETA:</w:t>
      </w:r>
    </w:p>
    <w:p w14:paraId="064AA89B" w14:textId="77777777" w:rsidR="000E2DFA" w:rsidRPr="00FA510A" w:rsidRDefault="000E2DFA" w:rsidP="00730BAC">
      <w:pPr>
        <w:spacing w:line="276" w:lineRule="auto"/>
        <w:rPr>
          <w:rFonts w:ascii="Arial Narrow" w:eastAsia="Arial Narrow" w:hAnsi="Arial Narrow" w:cs="Arial Narrow"/>
          <w:b/>
          <w:sz w:val="24"/>
          <w:szCs w:val="24"/>
        </w:rPr>
      </w:pPr>
    </w:p>
    <w:p w14:paraId="793305D1" w14:textId="47A646CC"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w:hAnsi="Arial Narrow" w:cs="Arial"/>
          <w:b/>
          <w:sz w:val="24"/>
          <w:szCs w:val="24"/>
        </w:rPr>
        <w:t>CAPÍTULO I OBJETO, ENFOQUES Y DEFINICIONES</w:t>
      </w:r>
    </w:p>
    <w:p w14:paraId="35731604"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 Objeto.</w:t>
      </w:r>
      <w:r w:rsidRPr="00FA510A">
        <w:rPr>
          <w:rFonts w:ascii="Arial Narrow" w:eastAsia="Arial Narrow" w:hAnsi="Arial Narrow" w:cs="Arial Narrow"/>
          <w:sz w:val="24"/>
          <w:szCs w:val="24"/>
        </w:rPr>
        <w:t xml:space="preserve"> El objeto de la presente ley es la creación de un marco regulatorio para la producción, comercialización y venta del cannabis de uso adulto. Del mismo modo, el presente marco regulatorio fijará disposiciones para proteger a la población de los efectos nocivos del consumo del cannabis y sus derivados, estableciendo como prioridad la protección de los menores. Así mismo, se dictarán medidas para la lucha contra las economías ilegales asociadas con la producción del cannabis y para la inserción al mercado a poblaciones en condiciones de vulnerabilidad, especialmente las afectadas por el conflicto armado.</w:t>
      </w:r>
    </w:p>
    <w:p w14:paraId="1B20714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 Enfoques:</w:t>
      </w:r>
      <w:r w:rsidRPr="00FA510A">
        <w:rPr>
          <w:rFonts w:ascii="Arial Narrow" w:eastAsia="Arial Narrow" w:hAnsi="Arial Narrow" w:cs="Arial Narrow"/>
          <w:sz w:val="24"/>
          <w:szCs w:val="24"/>
        </w:rPr>
        <w:t xml:space="preserve"> Los enfoques que tendrá la presente ley son los siguientes:</w:t>
      </w:r>
    </w:p>
    <w:p w14:paraId="46A71BEB"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Salud Pública:</w:t>
      </w:r>
      <w:r w:rsidRPr="00FA510A">
        <w:rPr>
          <w:rFonts w:ascii="Arial Narrow" w:eastAsia="Arial Narrow" w:hAnsi="Arial Narrow" w:cs="Arial Narrow"/>
          <w:sz w:val="24"/>
          <w:szCs w:val="24"/>
        </w:rPr>
        <w:t xml:space="preserve"> El Estado deberá orientar sus esfuerzos a una política de prevención e información enfocada especialmente a los menores de edad sobre los efectos nocivos del consumo de cannabis y sus derivados. Brindar herramientas a los mayores de edad para un consumo informado. El estado deberá contar con campañas de concientización, información y ayuda y garantizar las condiciones para los tratamientos de recuperación de personas que tengan un consumo problemático.</w:t>
      </w:r>
    </w:p>
    <w:p w14:paraId="13E6DFC3"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Derechos Humanos:</w:t>
      </w:r>
      <w:r w:rsidRPr="00FA510A">
        <w:rPr>
          <w:rFonts w:ascii="Arial Narrow" w:eastAsia="Arial Narrow" w:hAnsi="Arial Narrow" w:cs="Arial Narrow"/>
          <w:sz w:val="24"/>
          <w:szCs w:val="24"/>
        </w:rPr>
        <w:t xml:space="preserve"> El Estado reconocerá los derechos de la población consumidora, así como sus   deberes de las personas que hoy las consumen como poblaciones prioritarias para la atención en salud. Dando acceso a la participación y a mecanismos de exigibilidad de derechos. El Estado tendrá una perspectiva transversal de derechos humanos basada en los principios de protección a la niñez, igualdad, no discriminación, autonomía personal y dignidad humana.</w:t>
      </w:r>
    </w:p>
    <w:p w14:paraId="1B230A11"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Protección a la niñez:</w:t>
      </w:r>
      <w:r w:rsidRPr="00FA510A">
        <w:rPr>
          <w:rFonts w:ascii="Arial Narrow" w:eastAsia="Arial Narrow" w:hAnsi="Arial Narrow" w:cs="Arial Narrow"/>
          <w:sz w:val="24"/>
          <w:szCs w:val="24"/>
        </w:rPr>
        <w:t xml:space="preserve"> Los Niños, Niñas y Adolescentes son sujetos de especial protección por lo que el Estado tendrá campañas permanentes de concientización e información clara y veraz acerca de los daños que pueden generar el consumo de cannabis y sus derivados. El Estado deberá perseguir y castigar a quienes vendan, induzcan, engañen y obliguen a hacer uso de sustancias psicoactivas. Además, garantizará espacios libres de consumo en entornos escolares, para garantizar así el goce efectivo de los derechos de la niñez y su protección integral.</w:t>
      </w:r>
    </w:p>
    <w:p w14:paraId="2A45F9EE"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Política de cuidado:</w:t>
      </w:r>
      <w:r w:rsidRPr="00FA510A">
        <w:rPr>
          <w:rFonts w:ascii="Arial Narrow" w:eastAsia="Arial Narrow" w:hAnsi="Arial Narrow" w:cs="Arial Narrow"/>
          <w:sz w:val="24"/>
          <w:szCs w:val="24"/>
        </w:rPr>
        <w:t xml:space="preserve"> El Estado adelantará acciones destinadas a garantizar el bienestar físico y emocional de los consumidores. Estas políticas incluyen medidas destinadas tanto a garantizar el acceso a servicios de salud como velar por la calidad, estándares mínimos de seguridad del producto mediante la regulación y los controles sanitarios.</w:t>
      </w:r>
    </w:p>
    <w:p w14:paraId="5991EB70"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Políticas de equidad social:</w:t>
      </w:r>
      <w:r w:rsidRPr="00FA510A">
        <w:rPr>
          <w:rFonts w:ascii="Arial Narrow" w:eastAsia="Arial Narrow" w:hAnsi="Arial Narrow" w:cs="Arial Narrow"/>
          <w:sz w:val="24"/>
          <w:szCs w:val="24"/>
        </w:rPr>
        <w:t xml:space="preserve"> La regulación del cannabis de uso adulto debe ser una oportunidad para proteger los pueblos ancestrales, las comunidades étnicas y campesinas; quienes han sido víctimas del conflicto armado, el narcotráfico, la violencia y el olvido del Estado permitiendo el tránsito hacia la formalización y el reconocimiento legal de su actividad económica y productiva.</w:t>
      </w:r>
    </w:p>
    <w:p w14:paraId="4E020892"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Prácticas verdes y limpias:</w:t>
      </w:r>
      <w:r w:rsidRPr="00FA510A">
        <w:rPr>
          <w:rFonts w:ascii="Arial Narrow" w:eastAsia="Arial Narrow" w:hAnsi="Arial Narrow" w:cs="Arial Narrow"/>
          <w:sz w:val="24"/>
          <w:szCs w:val="24"/>
        </w:rPr>
        <w:t xml:space="preserve"> Los cultivos de cannabis de uso adulto deberán implementar prácticas verdes evitando la afectación del medio ambiente. Procurando la utilización de productos que disminuyan los riesgos para la vida humana, los daños al medio ambiente, el agua y los ecosistemas naturales. Los Cultivadores estarán obligados a la implementación de Buenas Prácticas de Agricultura – BPA y, el Estado garantizará que los cultivos cumplan con todas las medidas de protección del medio ambiente y la biodiversidad, así como tener en cuenta el uso racional de energía, emisión de gases, así como tener en cuenta la afectación de los monocultivos en el ecosistema.</w:t>
      </w:r>
    </w:p>
    <w:p w14:paraId="3F0F9D8F"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3. Definiciones:</w:t>
      </w:r>
      <w:r w:rsidRPr="00FA510A">
        <w:rPr>
          <w:rFonts w:ascii="Arial Narrow" w:eastAsia="Arial Narrow" w:hAnsi="Arial Narrow" w:cs="Arial Narrow"/>
          <w:color w:val="1F3863"/>
          <w:sz w:val="24"/>
          <w:szCs w:val="24"/>
        </w:rPr>
        <w:t xml:space="preserve"> </w:t>
      </w:r>
      <w:r w:rsidRPr="00FA510A">
        <w:rPr>
          <w:rFonts w:ascii="Arial Narrow" w:eastAsia="Arial Narrow" w:hAnsi="Arial Narrow" w:cs="Arial Narrow"/>
          <w:color w:val="000000"/>
          <w:sz w:val="24"/>
          <w:szCs w:val="24"/>
        </w:rPr>
        <w:t>Para efectos de la presente ley se adoptarán las siguientes definiciones: </w:t>
      </w:r>
    </w:p>
    <w:p w14:paraId="551C4C97"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sidRPr="00FA510A">
        <w:rPr>
          <w:rFonts w:ascii="Arial Narrow" w:eastAsia="Arial Narrow" w:hAnsi="Arial Narrow" w:cs="Arial Narrow"/>
          <w:b/>
          <w:color w:val="000000"/>
          <w:sz w:val="24"/>
          <w:szCs w:val="24"/>
        </w:rPr>
        <w:t>Autocultivo:</w:t>
      </w:r>
      <w:r w:rsidRPr="00FA510A">
        <w:rPr>
          <w:rFonts w:ascii="Arial Narrow" w:eastAsia="Arial Narrow" w:hAnsi="Arial Narrow" w:cs="Arial Narrow"/>
          <w:color w:val="000000"/>
          <w:sz w:val="24"/>
          <w:szCs w:val="24"/>
        </w:rPr>
        <w:t xml:space="preserve"> La práctica de poseer en número no superior a veinte (20) unidades de plantas de cannabis para uso personal sin fines de comercialización o lucro.</w:t>
      </w:r>
    </w:p>
    <w:p w14:paraId="39B32E4C"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Cannabis:</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sz w:val="24"/>
          <w:szCs w:val="24"/>
        </w:rPr>
        <w:t>Cualquier variedad de la planta cannabis. Sumidades, floridas o con fruto, de la planta de cannabis (a excepción de las semillas y las hojas no unidas a las sumidades) de las cuales no se ha extraído la resina, cualquiera que sea el nombre con que se las designe.</w:t>
      </w:r>
    </w:p>
    <w:p w14:paraId="2A03F39A"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Cáñamo:</w:t>
      </w:r>
      <w:r w:rsidRPr="00FA510A">
        <w:rPr>
          <w:rFonts w:ascii="Arial Narrow" w:eastAsia="Arial Narrow" w:hAnsi="Arial Narrow" w:cs="Arial Narrow"/>
          <w:color w:val="000000"/>
          <w:sz w:val="24"/>
          <w:szCs w:val="24"/>
        </w:rPr>
        <w:t xml:space="preserve"> Es un cultivo de la planta de cannabis cuyo nombre se deriva de la fibra que se obtiene de ella. </w:t>
      </w:r>
    </w:p>
    <w:p w14:paraId="74A51430"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Cannabinoide:</w:t>
      </w:r>
      <w:r w:rsidRPr="00FA510A">
        <w:rPr>
          <w:rFonts w:ascii="Arial Narrow" w:eastAsia="Arial Narrow" w:hAnsi="Arial Narrow" w:cs="Arial Narrow"/>
          <w:color w:val="000000"/>
          <w:sz w:val="24"/>
          <w:szCs w:val="24"/>
        </w:rPr>
        <w:t xml:space="preserve"> Grupo de compuestos estrechamente relacionados que incluyen los componentes activos del cannabis.</w:t>
      </w:r>
    </w:p>
    <w:p w14:paraId="7C046CF2"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Clubes Cannábicos:</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sz w:val="24"/>
          <w:szCs w:val="24"/>
        </w:rPr>
        <w:t>Son modelos asociativos sin ánimo de lucro para la producción de cannabis de uso adulto y el autoabastecimiento a pequeña escala. En estos establecimientos se podrá cultivar hasta un número determinado de plantas, según establezca la reglamentación por persona y por establecimiento, considerando exclusivamente a los miembros del club. Los miembros serán responsables legalmente de las infracciones que se puedan cometer al ordenamiento jurídico colombiano y las contempladas en esta ley.</w:t>
      </w:r>
    </w:p>
    <w:p w14:paraId="50D47553"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sidRPr="00FA510A">
        <w:rPr>
          <w:rFonts w:ascii="Arial Narrow" w:eastAsia="Arial Narrow" w:hAnsi="Arial Narrow" w:cs="Arial Narrow"/>
          <w:b/>
          <w:color w:val="000000"/>
          <w:sz w:val="24"/>
          <w:szCs w:val="24"/>
        </w:rPr>
        <w:t>Consumo problemático:</w:t>
      </w:r>
      <w:r w:rsidRPr="00FA510A">
        <w:rPr>
          <w:rFonts w:ascii="Arial Narrow" w:eastAsia="Arial Narrow" w:hAnsi="Arial Narrow" w:cs="Arial Narrow"/>
          <w:color w:val="000000"/>
          <w:sz w:val="24"/>
          <w:szCs w:val="24"/>
        </w:rPr>
        <w:t xml:space="preserve"> Cualquier conducta que no se puede controlar y que afecta la salud física, emocional, psíquica y las relaciones personales.</w:t>
      </w:r>
    </w:p>
    <w:p w14:paraId="01A5E346"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Cosecha:</w:t>
      </w:r>
      <w:r w:rsidRPr="00FA510A">
        <w:rPr>
          <w:rFonts w:ascii="Arial Narrow" w:eastAsia="Arial Narrow" w:hAnsi="Arial Narrow" w:cs="Arial Narrow"/>
          <w:color w:val="000000"/>
          <w:sz w:val="24"/>
          <w:szCs w:val="24"/>
        </w:rPr>
        <w:t xml:space="preserve"> Producto del cultivo obtenido de la planta de cannabis. </w:t>
      </w:r>
    </w:p>
    <w:p w14:paraId="540C9A0B"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Cultivo:</w:t>
      </w:r>
      <w:r w:rsidRPr="00FA510A">
        <w:rPr>
          <w:rFonts w:ascii="Arial Narrow" w:eastAsia="Arial Narrow" w:hAnsi="Arial Narrow" w:cs="Arial Narrow"/>
          <w:color w:val="000000"/>
          <w:sz w:val="24"/>
          <w:szCs w:val="24"/>
        </w:rPr>
        <w:t xml:space="preserve"> Actividad destinada a la producción de plantas de cannabis que comprende desde la siembra de la semilla hasta la cosecha de la flor. </w:t>
      </w:r>
    </w:p>
    <w:p w14:paraId="027E78E2"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Dispensarios</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sz w:val="24"/>
          <w:szCs w:val="24"/>
        </w:rPr>
        <w:t>Establecimientos comerciales de carácter público o privado, dedicados a la venta de cannabis y productos de la planta de cannabis medicinal y para adultos. En estos lugares, se autoriza el almacenamiento, venta al por mayor y al detal, según se señale en la correspondiente reglamentación.</w:t>
      </w:r>
    </w:p>
    <w:p w14:paraId="48F02FB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Extracciones y concentrados</w:t>
      </w:r>
      <w:r w:rsidRPr="00FA510A">
        <w:rPr>
          <w:rFonts w:ascii="Arial Narrow" w:eastAsia="Arial Narrow" w:hAnsi="Arial Narrow" w:cs="Arial Narrow"/>
          <w:color w:val="000000"/>
          <w:sz w:val="24"/>
          <w:szCs w:val="24"/>
          <w:u w:val="single"/>
        </w:rPr>
        <w:t>:</w:t>
      </w:r>
      <w:r w:rsidRPr="00FA510A">
        <w:rPr>
          <w:rFonts w:ascii="Arial Narrow" w:eastAsia="Arial Narrow" w:hAnsi="Arial Narrow" w:cs="Arial Narrow"/>
          <w:color w:val="000000"/>
          <w:sz w:val="24"/>
          <w:szCs w:val="24"/>
        </w:rPr>
        <w:t xml:space="preserve"> Productos derivados del cannabis, donde se extraen los cannabinoides y demás componentes de las flores y las hojas de las plantas de cannabis mediante el uso de distintos procedimientos.</w:t>
      </w:r>
    </w:p>
    <w:p w14:paraId="416399D6"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Gremio:</w:t>
      </w:r>
      <w:r w:rsidRPr="00FA510A">
        <w:rPr>
          <w:rFonts w:ascii="Arial Narrow" w:eastAsia="Arial Narrow" w:hAnsi="Arial Narrow" w:cs="Arial Narrow"/>
          <w:color w:val="000000"/>
          <w:sz w:val="24"/>
          <w:szCs w:val="24"/>
        </w:rPr>
        <w:t xml:space="preserve"> Organización que agrupa a los cultivadores de cannabis de uso adulto.</w:t>
      </w:r>
    </w:p>
    <w:p w14:paraId="2511781E"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Manifiesto</w:t>
      </w:r>
      <w:r w:rsidRPr="00FA510A">
        <w:rPr>
          <w:rFonts w:ascii="Arial Narrow" w:eastAsia="Arial Narrow" w:hAnsi="Arial Narrow" w:cs="Arial Narrow"/>
          <w:color w:val="000000"/>
          <w:sz w:val="24"/>
          <w:szCs w:val="24"/>
        </w:rPr>
        <w:t xml:space="preserve">: Es un registro en el </w:t>
      </w:r>
      <w:r w:rsidRPr="00FA510A">
        <w:rPr>
          <w:rFonts w:ascii="Arial Narrow" w:eastAsia="Arial Narrow" w:hAnsi="Arial Narrow" w:cs="Arial Narrow"/>
          <w:sz w:val="24"/>
          <w:szCs w:val="24"/>
        </w:rPr>
        <w:t xml:space="preserve">software de monitoreo, control de inventario y trazabilidad </w:t>
      </w:r>
      <w:r w:rsidRPr="00FA510A">
        <w:rPr>
          <w:rFonts w:ascii="Arial Narrow" w:eastAsia="Arial Narrow" w:hAnsi="Arial Narrow" w:cs="Arial Narrow"/>
          <w:color w:val="000000"/>
          <w:sz w:val="24"/>
          <w:szCs w:val="24"/>
        </w:rPr>
        <w:t>de los datos del cannabis de uso adulto transportado, que identifica el productor, la cantidad, el producto, el transportador responsable, la ruta, fecha y el destinatario.</w:t>
      </w:r>
    </w:p>
    <w:p w14:paraId="2A39D46B"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Laboratorio analítico</w:t>
      </w:r>
      <w:r w:rsidRPr="00FA510A">
        <w:rPr>
          <w:rFonts w:ascii="Arial Narrow" w:eastAsia="Arial Narrow" w:hAnsi="Arial Narrow" w:cs="Arial Narrow"/>
          <w:color w:val="000000"/>
          <w:sz w:val="24"/>
          <w:szCs w:val="24"/>
        </w:rPr>
        <w:t>: Laboratorio donde se realizan pruebas al cannabis de uso adulto para la identificación, valoración y caracterización de materiales a través de diferentes técnicas de análisis instrumental por ejemplo los análisis cromatográficos.</w:t>
      </w:r>
    </w:p>
    <w:p w14:paraId="0796C53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Licencia:</w:t>
      </w:r>
      <w:r w:rsidRPr="00FA510A">
        <w:rPr>
          <w:rFonts w:ascii="Arial Narrow" w:eastAsia="Arial Narrow" w:hAnsi="Arial Narrow" w:cs="Arial Narrow"/>
          <w:color w:val="000000"/>
          <w:sz w:val="24"/>
          <w:szCs w:val="24"/>
        </w:rPr>
        <w:t xml:space="preserve"> Es la autorización que da la autoridad de control a través de un acto administrativo, para la realización de las actividades relacionadas con el manejo del cultivo de plantas de cannabis, transformación, transporte, analítica y distribución.</w:t>
      </w:r>
    </w:p>
    <w:p w14:paraId="3E18BF9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b/>
          <w:color w:val="000000"/>
          <w:sz w:val="24"/>
          <w:szCs w:val="24"/>
          <w:u w:val="single"/>
        </w:rPr>
      </w:pPr>
      <w:r w:rsidRPr="00FA510A">
        <w:rPr>
          <w:rFonts w:ascii="Arial Narrow" w:eastAsia="Arial Narrow" w:hAnsi="Arial Narrow" w:cs="Arial Narrow"/>
          <w:b/>
          <w:color w:val="000000"/>
          <w:sz w:val="24"/>
          <w:szCs w:val="24"/>
        </w:rPr>
        <w:t>Perfil cannabinoide:</w:t>
      </w:r>
      <w:r w:rsidRPr="00FA510A">
        <w:rPr>
          <w:rFonts w:ascii="Arial Narrow" w:eastAsia="Arial Narrow" w:hAnsi="Arial Narrow" w:cs="Arial Narrow"/>
          <w:color w:val="000000"/>
          <w:sz w:val="24"/>
          <w:szCs w:val="24"/>
        </w:rPr>
        <w:t xml:space="preserve"> La mezcla de cannabinoides producidos naturalmente por una planta.</w:t>
      </w:r>
    </w:p>
    <w:p w14:paraId="567B2AA5"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Semillas Nativas:</w:t>
      </w:r>
      <w:r w:rsidRPr="00FA510A">
        <w:rPr>
          <w:rFonts w:ascii="Arial Narrow" w:eastAsia="Arial Narrow" w:hAnsi="Arial Narrow" w:cs="Arial Narrow"/>
          <w:color w:val="000000"/>
          <w:sz w:val="24"/>
          <w:szCs w:val="24"/>
        </w:rPr>
        <w:t xml:space="preserve"> Son aquellas especies adaptadas a los diferentes regiones y ambientes del País que se llevan sembrando después múltiples generaciones de agricultores.</w:t>
      </w:r>
    </w:p>
    <w:p w14:paraId="4E1FE285"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 xml:space="preserve">Software de monitoreo, control de inventario y trazabilidad: </w:t>
      </w:r>
      <w:r w:rsidRPr="00FA510A">
        <w:rPr>
          <w:rFonts w:ascii="Arial Narrow" w:eastAsia="Arial Narrow" w:hAnsi="Arial Narrow" w:cs="Arial Narrow"/>
          <w:sz w:val="24"/>
          <w:szCs w:val="24"/>
        </w:rPr>
        <w:t>Programa que documenta y rastrea el cannabis de uso adulto desde una forma de planta hasta un producto en un estante de distribuidor o dispensario.</w:t>
      </w:r>
    </w:p>
    <w:p w14:paraId="3841D558"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Uso adulto de cannabis</w:t>
      </w:r>
      <w:r w:rsidRPr="00FA510A">
        <w:rPr>
          <w:rFonts w:ascii="Arial Narrow" w:eastAsia="Arial Narrow" w:hAnsi="Arial Narrow" w:cs="Arial Narrow"/>
          <w:color w:val="000000"/>
          <w:sz w:val="24"/>
          <w:szCs w:val="24"/>
        </w:rPr>
        <w:t>: Se entiende como el uso del cannabis en cualquiera de sus formas naturales o derivadas, para consumo personal, recreativo, responsable e informado, exclusivamente por personas mayores de edad.</w:t>
      </w:r>
    </w:p>
    <w:p w14:paraId="50A26051"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Uso Industrial:</w:t>
      </w:r>
      <w:r w:rsidRPr="00FA510A">
        <w:rPr>
          <w:rFonts w:ascii="Arial Narrow" w:eastAsia="Arial Narrow" w:hAnsi="Arial Narrow" w:cs="Arial Narrow"/>
          <w:color w:val="000000"/>
          <w:sz w:val="24"/>
          <w:szCs w:val="24"/>
        </w:rPr>
        <w:t xml:space="preserve"> Planta de cáñamo que son de utilidad para producir o elaborar fibras, materiales de construcción, textiles, combustibles, biomasa, bioplástico, papel entre otros.</w:t>
      </w:r>
    </w:p>
    <w:p w14:paraId="0055EAFB"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 Competencias</w:t>
      </w:r>
      <w:r w:rsidRPr="00FA510A">
        <w:rPr>
          <w:rFonts w:ascii="Arial Narrow" w:eastAsia="Arial Narrow" w:hAnsi="Arial Narrow" w:cs="Arial Narrow"/>
          <w:sz w:val="24"/>
          <w:szCs w:val="24"/>
        </w:rPr>
        <w:t>: El Ministerio de Salud y Protección Social, el Ministerio de Justicia y del Derecho, el Ministerio Agricultura y Desarrollo Rural, y el Ministerio de Educación deberán reglamentar, verificar y dar cumplimiento a las disposiciones de la presente ley.</w:t>
      </w:r>
    </w:p>
    <w:p w14:paraId="7B2453B4" w14:textId="77777777" w:rsidR="000E2DFA" w:rsidRPr="00FA510A" w:rsidRDefault="0003031B">
      <w:pPr>
        <w:pBdr>
          <w:top w:val="nil"/>
          <w:left w:val="nil"/>
          <w:bottom w:val="nil"/>
          <w:right w:val="nil"/>
          <w:between w:val="nil"/>
        </w:pBdr>
        <w:spacing w:line="240"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w:t>
      </w:r>
      <w:r w:rsidRPr="00FA510A">
        <w:rPr>
          <w:rFonts w:ascii="Arial Narrow" w:eastAsia="Arial Narrow" w:hAnsi="Arial Narrow" w:cs="Arial Narrow"/>
          <w:b/>
          <w:color w:val="000000"/>
          <w:sz w:val="24"/>
          <w:szCs w:val="24"/>
        </w:rPr>
        <w:t xml:space="preserve"> II CULTIVO</w:t>
      </w:r>
    </w:p>
    <w:p w14:paraId="3BAC2D42"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w:t>
      </w:r>
      <w:r w:rsidRPr="00FA510A">
        <w:rPr>
          <w:rFonts w:ascii="Arial Narrow" w:eastAsia="Arial Narrow" w:hAnsi="Arial Narrow" w:cs="Arial Narrow"/>
          <w:sz w:val="24"/>
          <w:szCs w:val="24"/>
        </w:rPr>
        <w:t xml:space="preserve"> Las variedades actualmente registradas en una fuente semillera podrán ser usadas para el cultivo de cannabis de uso adulto más no será requisito.</w:t>
      </w:r>
    </w:p>
    <w:p w14:paraId="5751116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 Cultivo para uso adulto:</w:t>
      </w:r>
      <w:r w:rsidRPr="00FA510A">
        <w:rPr>
          <w:rFonts w:ascii="Arial Narrow" w:eastAsia="Arial Narrow" w:hAnsi="Arial Narrow" w:cs="Arial Narrow"/>
          <w:sz w:val="24"/>
          <w:szCs w:val="24"/>
        </w:rPr>
        <w:t xml:space="preserve"> El Ministerio de Justicia deberá reglamentar los requisitos para la obtención de licencia de cultivo para uso adulto los cuales deberán contemplar con un plan de cultivo detallado que respete el medio ambiente, los recursos hídricos, la salud de los cultivadores, las buenas prácticas de agricultura. Se deberá limitar el área cultivable, un responsable legal de la operación y seguimiento periódico al cultivo.</w:t>
      </w:r>
    </w:p>
    <w:p w14:paraId="5C162AE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xml:space="preserve"> No se podrá negar el proceso de licenciamiento a comunidades étnicas y campesinas con el argumento de preexistencia de cultivos ilegales o pasados judiciales relacionados con la producción de cannabis.</w:t>
      </w:r>
    </w:p>
    <w:p w14:paraId="5978FBD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7</w:t>
      </w:r>
      <w:r w:rsidRPr="00FA510A">
        <w:rPr>
          <w:rFonts w:ascii="Arial Narrow" w:eastAsia="Arial Narrow" w:hAnsi="Arial Narrow" w:cs="Arial Narrow"/>
          <w:sz w:val="24"/>
          <w:szCs w:val="24"/>
        </w:rPr>
        <w:t>: El número de licencias de producción de cannabis será definido a partir de un estudio de la demanda que deberá realizar el Ministerio de Salud en un término máximo de seis (6) meses para determinar la cantidad necesaria para cubrir el mercado y controlar los precios.</w:t>
      </w:r>
    </w:p>
    <w:p w14:paraId="11626716"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8 Autocultivo:</w:t>
      </w:r>
      <w:r w:rsidRPr="00FA510A">
        <w:rPr>
          <w:rFonts w:ascii="Arial Narrow" w:eastAsia="Arial Narrow" w:hAnsi="Arial Narrow" w:cs="Arial Narrow"/>
          <w:sz w:val="24"/>
          <w:szCs w:val="24"/>
        </w:rPr>
        <w:t xml:space="preserve"> Los mayores de 18 años podrán sembrar hasta (veinte) 20 plantas de cannabis exclusivamente para uso personal, para lo cual no se requerirá licencia de cultivo.</w:t>
      </w:r>
    </w:p>
    <w:p w14:paraId="071973C3"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9.</w:t>
      </w:r>
      <w:r w:rsidRPr="00FA510A">
        <w:rPr>
          <w:rFonts w:ascii="Arial Narrow" w:eastAsia="Arial Narrow" w:hAnsi="Arial Narrow" w:cs="Arial Narrow"/>
          <w:sz w:val="24"/>
          <w:szCs w:val="24"/>
        </w:rPr>
        <w:t xml:space="preserve"> Se creará la Federación Nacional Pequeños Productores de Cannabis de variedades especiales de Colombia integrada por autocultivadores de cannabis que quieran comercializar su producción, tendrá una personería jurídica sin ánimo de lucro, de naturaleza asociativa y de carácter gremial. Serán funciones de la Federación para el cumplimiento de su objeto:</w:t>
      </w:r>
    </w:p>
    <w:p w14:paraId="767ABF3A"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a)</w:t>
      </w:r>
      <w:r w:rsidRPr="00FA510A">
        <w:rPr>
          <w:rFonts w:ascii="Arial Narrow" w:eastAsia="Arial Narrow" w:hAnsi="Arial Narrow" w:cs="Arial Narrow"/>
          <w:sz w:val="24"/>
          <w:szCs w:val="24"/>
        </w:rPr>
        <w:tab/>
        <w:t xml:space="preserve">Defender los derechos de los pequeños productores de cannabis de Colombia, y representar sus intereses. </w:t>
      </w:r>
    </w:p>
    <w:p w14:paraId="5E070789"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b)</w:t>
      </w:r>
      <w:r w:rsidRPr="00FA510A">
        <w:rPr>
          <w:rFonts w:ascii="Arial Narrow" w:eastAsia="Arial Narrow" w:hAnsi="Arial Narrow" w:cs="Arial Narrow"/>
          <w:sz w:val="24"/>
          <w:szCs w:val="24"/>
        </w:rPr>
        <w:tab/>
        <w:t xml:space="preserve">Estructurar programas y proyectos para que los pequeños productores de cannabis alcancen niveles de competitividad. </w:t>
      </w:r>
    </w:p>
    <w:p w14:paraId="4EB8E929"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c)</w:t>
      </w:r>
      <w:r w:rsidRPr="00FA510A">
        <w:rPr>
          <w:rFonts w:ascii="Arial Narrow" w:eastAsia="Arial Narrow" w:hAnsi="Arial Narrow" w:cs="Arial Narrow"/>
          <w:sz w:val="24"/>
          <w:szCs w:val="24"/>
        </w:rPr>
        <w:tab/>
        <w:t xml:space="preserve">Celebrar convenios con lugares de distribución para la comercialización del cannabis de los pequeños productores. </w:t>
      </w:r>
    </w:p>
    <w:p w14:paraId="26D5B44B"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d)</w:t>
      </w:r>
      <w:r w:rsidRPr="00FA510A">
        <w:rPr>
          <w:rFonts w:ascii="Arial Narrow" w:eastAsia="Arial Narrow" w:hAnsi="Arial Narrow" w:cs="Arial Narrow"/>
          <w:sz w:val="24"/>
          <w:szCs w:val="24"/>
        </w:rPr>
        <w:tab/>
        <w:t>Prestar servicios de asistencia técnica a los pequeños productores, con el fin de mejorar la productividad de su cultivo y la calidad de la producción.</w:t>
      </w:r>
    </w:p>
    <w:p w14:paraId="6F727863"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e)</w:t>
      </w:r>
      <w:r w:rsidRPr="00FA510A">
        <w:rPr>
          <w:rFonts w:ascii="Arial Narrow" w:eastAsia="Arial Narrow" w:hAnsi="Arial Narrow" w:cs="Arial Narrow"/>
          <w:sz w:val="24"/>
          <w:szCs w:val="24"/>
        </w:rPr>
        <w:tab/>
        <w:t>Apoyar al pequeño productor de cannabis generando los esquemas que conduzcan a facilitar el acceso a los análisis requeridos.</w:t>
      </w:r>
    </w:p>
    <w:p w14:paraId="15815153" w14:textId="77777777" w:rsidR="000E2DFA" w:rsidRPr="00FA510A" w:rsidRDefault="0003031B">
      <w:pPr>
        <w:spacing w:line="276" w:lineRule="auto"/>
        <w:jc w:val="both"/>
        <w:rPr>
          <w:rFonts w:ascii="Arial Narrow" w:eastAsia="Arial Narrow" w:hAnsi="Arial Narrow" w:cs="Arial Narrow"/>
          <w:b/>
          <w:sz w:val="24"/>
          <w:szCs w:val="24"/>
        </w:rPr>
      </w:pPr>
      <w:r w:rsidRPr="00FA510A">
        <w:rPr>
          <w:rFonts w:ascii="Arial Narrow" w:eastAsia="Arial Narrow" w:hAnsi="Arial Narrow" w:cs="Arial Narrow"/>
          <w:b/>
          <w:sz w:val="24"/>
          <w:szCs w:val="24"/>
        </w:rPr>
        <w:t>Artículo 10:</w:t>
      </w:r>
      <w:r w:rsidRPr="00FA510A">
        <w:rPr>
          <w:rFonts w:ascii="Arial Narrow" w:eastAsia="Arial Narrow" w:hAnsi="Arial Narrow" w:cs="Arial Narrow"/>
          <w:sz w:val="24"/>
          <w:szCs w:val="24"/>
        </w:rPr>
        <w:t xml:space="preserve"> El Ministerio de Agricultura y Desarrollo Rural diseñará un programa de sustitución y reducción de cultivos de cannabis para comunidades que tengan cultivos preexistentes con el fin de incentivar el fortalecimiento de la seguridad alimentaria del país, la diversificación de los cultivos y la disminución de la oferta</w:t>
      </w:r>
      <w:r w:rsidRPr="00FA510A">
        <w:rPr>
          <w:rFonts w:ascii="Arial Narrow" w:eastAsia="Arial Narrow" w:hAnsi="Arial Narrow" w:cs="Arial Narrow"/>
          <w:color w:val="2F5496"/>
          <w:sz w:val="24"/>
          <w:szCs w:val="24"/>
        </w:rPr>
        <w:t>.</w:t>
      </w:r>
    </w:p>
    <w:p w14:paraId="1D198B3C" w14:textId="77777777" w:rsidR="000E2DFA" w:rsidRPr="00FA510A" w:rsidRDefault="0003031B">
      <w:pPr>
        <w:spacing w:line="276" w:lineRule="auto"/>
        <w:jc w:val="center"/>
        <w:rPr>
          <w:rFonts w:ascii="Arial Narrow" w:eastAsia="Arial Narrow" w:hAnsi="Arial Narrow" w:cs="Arial Narrow"/>
          <w:b/>
          <w:color w:val="FF0000"/>
          <w:sz w:val="24"/>
          <w:szCs w:val="24"/>
        </w:rPr>
      </w:pPr>
      <w:r w:rsidRPr="00FA510A">
        <w:rPr>
          <w:rFonts w:ascii="Arial Narrow" w:eastAsia="Arial Narrow" w:hAnsi="Arial Narrow" w:cs="Arial Narrow"/>
          <w:b/>
          <w:sz w:val="24"/>
          <w:szCs w:val="24"/>
        </w:rPr>
        <w:t>CAPÍTULO III TRANSPORTE</w:t>
      </w:r>
    </w:p>
    <w:p w14:paraId="77FF4B7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11 Software de monitoreo y control de inventario</w:t>
      </w:r>
      <w:r w:rsidRPr="00FA510A">
        <w:rPr>
          <w:rFonts w:ascii="Arial Narrow" w:eastAsia="Arial Narrow" w:hAnsi="Arial Narrow" w:cs="Arial Narrow"/>
          <w:sz w:val="24"/>
          <w:szCs w:val="24"/>
        </w:rPr>
        <w:t>: El Ministerio de Justicia y del Derecho implementará un sistema de trazabilidad con la capacidad de rastrear el movimiento de cannabis de uso adulto y productos derivados a través de la cadena de suministro para prevenir el desvío del producto, el sistema permitirá ver cada gramo de cannabis de uso adulto a lo largo del ciclo de vida de producción desde la semilla, cosecha, el procesamiento, pruebas, el transporte y la venta de la flor del cannabis y sus derivados para uso adulto.</w:t>
      </w:r>
    </w:p>
    <w:p w14:paraId="17FF3029"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 Administración del sistema se hará en coordinación entre el Ministerio de Salud y Protección Social, Ministerio de Justicia y Derecho permitiendo operar una única base de datos a nivel nacional sobre el cultivo, producción, almacenamiento, transformación y distribución.</w:t>
      </w:r>
    </w:p>
    <w:p w14:paraId="33E74839"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12: </w:t>
      </w:r>
      <w:r w:rsidRPr="00FA510A">
        <w:rPr>
          <w:rFonts w:ascii="Arial Narrow" w:eastAsia="Arial Narrow" w:hAnsi="Arial Narrow" w:cs="Arial Narrow"/>
          <w:sz w:val="24"/>
          <w:szCs w:val="24"/>
        </w:rPr>
        <w:t>el Ministerio de Justicia y el Derecho expedirá una licencia de transporte integrada a un software de monitoreo, control de inventario, trazabilidad del producto y una aplicación de transporte que deberá contar con mapas de recorridos, rutas, monitoreo por GPS, protección de datos en la nube, garantizando la seguridad y seguimiento por parte de las autoridades competentes.</w:t>
      </w:r>
    </w:p>
    <w:p w14:paraId="4ACA7671"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No se podrá negar la participación de ciudadanos con antecedentes de tráfico de cannabis, que hayan cumplido con sus penas, en el licenciamiento para el transporte de cannabis de uso adulto.</w:t>
      </w:r>
    </w:p>
    <w:p w14:paraId="542EAEAE"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las empresas y agremiaciones con licencias de cultivo de uso adulto que cumplan con los requisitos podrán registrar 2 vehículos para el transporte exclusivo de su producción en el software de monitoreo, control de inventario y trazabilidad sin solicitar una licencia de transporte.</w:t>
      </w:r>
    </w:p>
    <w:p w14:paraId="1DF03D0D"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13:</w:t>
      </w:r>
      <w:r w:rsidRPr="00FA510A">
        <w:rPr>
          <w:rFonts w:ascii="Arial Narrow" w:eastAsia="Arial Narrow" w:hAnsi="Arial Narrow" w:cs="Arial Narrow"/>
          <w:sz w:val="24"/>
          <w:szCs w:val="24"/>
        </w:rPr>
        <w:t xml:space="preserve"> </w:t>
      </w:r>
      <w:r w:rsidRPr="00FA510A">
        <w:rPr>
          <w:rFonts w:ascii="Arial Narrow" w:eastAsia="Arial Narrow" w:hAnsi="Arial Narrow" w:cs="Arial Narrow"/>
          <w:b/>
          <w:sz w:val="24"/>
          <w:szCs w:val="24"/>
        </w:rPr>
        <w:t>Personas o empresas autorizadas para transportar:</w:t>
      </w:r>
      <w:r w:rsidRPr="00FA510A">
        <w:rPr>
          <w:rFonts w:ascii="Arial Narrow" w:eastAsia="Arial Narrow" w:hAnsi="Arial Narrow" w:cs="Arial Narrow"/>
          <w:sz w:val="24"/>
          <w:szCs w:val="24"/>
        </w:rPr>
        <w:t xml:space="preserve"> Podrán solicitar la licencia de transporte especial señalada en el artículo 12 de la presente ley, personas jurídicas que en su Clasificación de Actividades Económicas CIIU incluya actividades de mensajería y carga, personas naturales, empresas y agremiaciones con licencias de cultivo de cannabis de uso adulto.</w:t>
      </w:r>
    </w:p>
    <w:p w14:paraId="2462EE85"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14:</w:t>
      </w:r>
      <w:r w:rsidRPr="00FA510A">
        <w:rPr>
          <w:rFonts w:ascii="Arial Narrow" w:eastAsia="Arial Narrow" w:hAnsi="Arial Narrow" w:cs="Arial Narrow"/>
          <w:sz w:val="24"/>
          <w:szCs w:val="24"/>
        </w:rPr>
        <w:t xml:space="preserve"> </w:t>
      </w:r>
      <w:r w:rsidRPr="00FA510A">
        <w:rPr>
          <w:rFonts w:ascii="Arial Narrow" w:eastAsia="Arial Narrow" w:hAnsi="Arial Narrow" w:cs="Arial Narrow"/>
          <w:b/>
          <w:sz w:val="24"/>
          <w:szCs w:val="24"/>
        </w:rPr>
        <w:t xml:space="preserve">Manifiesto de Envío: </w:t>
      </w:r>
      <w:r w:rsidRPr="00FA510A">
        <w:rPr>
          <w:rFonts w:ascii="Arial Narrow" w:eastAsia="Arial Narrow" w:hAnsi="Arial Narrow" w:cs="Arial Narrow"/>
          <w:sz w:val="24"/>
          <w:szCs w:val="24"/>
        </w:rPr>
        <w:t>Cada carga o viaje deberá ser reportado en el software que disponga el Ministerio de Justicia y del Derecho, con el reporte el sistema deberá generar un manifiesto de envío, el cual contenga como mínimo, el control de inventario y trazabilidad antes del transporte y asegurarse que el producto sea entregado en la cantidad y condiciones que reportó en el manifiesto para posibilitar el control de las autoridades competentes.</w:t>
      </w:r>
    </w:p>
    <w:p w14:paraId="02653325" w14:textId="77777777" w:rsidR="000E2DFA" w:rsidRPr="00FA510A" w:rsidRDefault="0003031B">
      <w:pPr>
        <w:spacing w:line="276" w:lineRule="auto"/>
        <w:jc w:val="both"/>
        <w:rPr>
          <w:rFonts w:ascii="Arial Narrow" w:eastAsia="Arial Narrow" w:hAnsi="Arial Narrow" w:cs="Arial Narrow"/>
          <w:color w:val="2F5496"/>
          <w:sz w:val="24"/>
          <w:szCs w:val="24"/>
        </w:rPr>
      </w:pPr>
      <w:r w:rsidRPr="00FA510A">
        <w:rPr>
          <w:rFonts w:ascii="Arial Narrow" w:eastAsia="Arial Narrow" w:hAnsi="Arial Narrow" w:cs="Arial Narrow"/>
          <w:b/>
          <w:sz w:val="24"/>
          <w:szCs w:val="24"/>
        </w:rPr>
        <w:t>Artículo 15:</w:t>
      </w:r>
      <w:r w:rsidRPr="00FA510A">
        <w:rPr>
          <w:rFonts w:ascii="Arial Narrow" w:eastAsia="Arial Narrow" w:hAnsi="Arial Narrow" w:cs="Arial Narrow"/>
          <w:sz w:val="24"/>
          <w:szCs w:val="24"/>
        </w:rPr>
        <w:t xml:space="preserve"> El vehículo utilizado para el transporte no deberá llevar logotipos o información de identificación asociada a la producción de cannabis y/o sus derivados.</w:t>
      </w:r>
    </w:p>
    <w:p w14:paraId="7F67C936"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16</w:t>
      </w:r>
      <w:r w:rsidRPr="00FA510A">
        <w:rPr>
          <w:rFonts w:ascii="Arial Narrow" w:eastAsia="Arial Narrow" w:hAnsi="Arial Narrow" w:cs="Arial Narrow"/>
          <w:sz w:val="24"/>
          <w:szCs w:val="24"/>
        </w:rPr>
        <w:t>: El embalaje deberá tener un mecanismo de sellado que permita evidenciar algún tipo de manipulación.</w:t>
      </w:r>
    </w:p>
    <w:p w14:paraId="4B9F145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17:</w:t>
      </w:r>
      <w:r w:rsidRPr="00FA510A">
        <w:rPr>
          <w:rFonts w:ascii="Arial Narrow" w:eastAsia="Arial Narrow" w:hAnsi="Arial Narrow" w:cs="Arial Narrow"/>
          <w:sz w:val="24"/>
          <w:szCs w:val="24"/>
        </w:rPr>
        <w:t xml:space="preserve"> Deberá tener un área completamente cerrada y asegurada con mecanismos que eviten el acceso no autorizado y un precinto de seguridad numerado, cuyo número deberá consignarse en el software de monitoreo, control de inventario y trazabilidad.</w:t>
      </w:r>
    </w:p>
    <w:p w14:paraId="30DCBBA7"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IV PROCESAMIENTO Y EXTRACCIÓN DE DERIVADOS</w:t>
      </w:r>
    </w:p>
    <w:p w14:paraId="1F17D24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18:</w:t>
      </w:r>
      <w:r w:rsidRPr="00FA510A">
        <w:rPr>
          <w:rFonts w:ascii="Arial Narrow" w:eastAsia="Arial Narrow" w:hAnsi="Arial Narrow" w:cs="Arial Narrow"/>
          <w:sz w:val="24"/>
          <w:szCs w:val="24"/>
        </w:rPr>
        <w:t xml:space="preserve"> La planta de cannabis se podrá transformar en extracciones, concentrados y derivados, entre otros, para la elaboración de productos terminados para uso y/o consumo humano tales como comestibles, inhalables, entre otros, siempre y cuando cumpla con los requisitos establecidos en la reglamentación específica para productos de la planta de cannabis para uso adulto. </w:t>
      </w:r>
    </w:p>
    <w:p w14:paraId="6FEADB1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1: </w:t>
      </w:r>
      <w:r w:rsidRPr="00FA510A">
        <w:rPr>
          <w:rFonts w:ascii="Arial Narrow" w:eastAsia="Arial Narrow" w:hAnsi="Arial Narrow" w:cs="Arial Narrow"/>
          <w:sz w:val="24"/>
          <w:szCs w:val="24"/>
        </w:rPr>
        <w:t>El Ministerio de Salud y Protección Social deberá, en el plazo de tres (3) meses, definir los aspectos sanitarios específicos para productos terminados de la planta de cannabis de uso adulto para habilitar su comercialización, teniendo en cuenta la política de equidad social y estableciendo medidas transitorias y graduales con el fin de que no se creen barreras para el acceso a los productores.</w:t>
      </w:r>
    </w:p>
    <w:p w14:paraId="1FE4C1E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los laboratorios con licencia de fabricación de derivados medicinales podrán solicitar homologación para la obtención de una licencia de extracción de derivados para uso adulto. </w:t>
      </w:r>
    </w:p>
    <w:p w14:paraId="25EF70C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19: </w:t>
      </w:r>
      <w:r w:rsidRPr="00FA510A">
        <w:rPr>
          <w:rFonts w:ascii="Arial Narrow" w:eastAsia="Arial Narrow" w:hAnsi="Arial Narrow" w:cs="Arial Narrow"/>
          <w:sz w:val="24"/>
          <w:szCs w:val="24"/>
        </w:rPr>
        <w:t xml:space="preserve">para garantizar oferta de análisis el INVIMA deberá habilitar la analítica de cualquier laboratorio que cumpla con los requerimientos mínimos para realizar certificados de análisis cromatográfico-HPLC, </w:t>
      </w:r>
      <w:r w:rsidR="00730BAC" w:rsidRPr="00FA510A">
        <w:rPr>
          <w:rFonts w:ascii="Arial Narrow" w:eastAsia="Arial Narrow" w:hAnsi="Arial Narrow" w:cs="Arial Narrow"/>
          <w:sz w:val="24"/>
          <w:szCs w:val="24"/>
        </w:rPr>
        <w:t>incluidos</w:t>
      </w:r>
      <w:r w:rsidRPr="00FA510A">
        <w:rPr>
          <w:rFonts w:ascii="Arial Narrow" w:eastAsia="Arial Narrow" w:hAnsi="Arial Narrow" w:cs="Arial Narrow"/>
          <w:sz w:val="24"/>
          <w:szCs w:val="24"/>
        </w:rPr>
        <w:t xml:space="preserve"> el SENA, Universidades o privados.</w:t>
      </w:r>
    </w:p>
    <w:p w14:paraId="6DC6E639"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V EMPAQUETADO Y ETIQUETADO</w:t>
      </w:r>
    </w:p>
    <w:p w14:paraId="027B07AE"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20:</w:t>
      </w:r>
      <w:r w:rsidRPr="00FA510A">
        <w:rPr>
          <w:rFonts w:ascii="Arial Narrow" w:eastAsia="Arial Narrow" w:hAnsi="Arial Narrow" w:cs="Arial Narrow"/>
          <w:sz w:val="24"/>
          <w:szCs w:val="24"/>
        </w:rPr>
        <w:t xml:space="preserve"> Todo empaque de cannabis de uso adulto y sus derivados deberá asegurar la calidad y seguridad, reducir las posibilidades de manipulación y permitir que el comprador o usuario identifique con facilidad si se ha producido algún tipo de manipulación.</w:t>
      </w:r>
    </w:p>
    <w:p w14:paraId="44E25223"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21:</w:t>
      </w:r>
      <w:r w:rsidRPr="00FA510A">
        <w:rPr>
          <w:rFonts w:ascii="Arial Narrow" w:eastAsia="Arial Narrow" w:hAnsi="Arial Narrow" w:cs="Arial Narrow"/>
          <w:sz w:val="24"/>
          <w:szCs w:val="24"/>
        </w:rPr>
        <w:t xml:space="preserve"> El empaque de todo producto de la planta de cannabis para uso adulto, deberá contar con mecanismos para evitar la ingesta accidental por parte de NNA. Los productos de la planta de cannabis para uso adulto no podrán contener imágenes, alusiones, referencias o mensajes que inciten al consumo o que disminuyan la percepción de riesgo del consumo, así como tampoco enunciar efectos terapéuticos o indicaciones médicas. Todo empaque de producto de la planta de cannabis para uso adulto, deberá llevar en el extremo inferior de la etiqueta y ocupando una décima parte de ella, la advertencia: “El cannabis es nocivo para la salud y está prohibido el consumo para menores de edad”.</w:t>
      </w:r>
    </w:p>
    <w:p w14:paraId="3975DDD6" w14:textId="77777777" w:rsidR="000E2DFA" w:rsidRPr="00FA510A" w:rsidRDefault="0003031B">
      <w:pPr>
        <w:spacing w:before="240" w:after="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“Todo empaque de cannabis deberá llevar una etiqueta de advertencia compuesta por imagen y texto que ocupe el 50% del empaque por ambas caras. Las etiquetas deberán ser en color amarillo con letras rojas y deben advertir sobre las diferentes consecuencias del consumo de cannabis. Anualmente, el Ministerio de Salud y Protección Social deberá diseñar cuatro etiquetas de advertencia para que sean utilizadas durante ese año en todos los empaques de cannabis, anualmente deberán renovarse”.</w:t>
      </w:r>
    </w:p>
    <w:p w14:paraId="79CC3268" w14:textId="77777777" w:rsidR="000E2DFA" w:rsidRPr="00FA510A" w:rsidRDefault="000E2DFA">
      <w:pPr>
        <w:spacing w:line="276" w:lineRule="auto"/>
        <w:jc w:val="both"/>
        <w:rPr>
          <w:rFonts w:ascii="Arial Narrow" w:eastAsia="Arial Narrow" w:hAnsi="Arial Narrow" w:cs="Arial Narrow"/>
          <w:sz w:val="24"/>
          <w:szCs w:val="24"/>
        </w:rPr>
      </w:pPr>
    </w:p>
    <w:p w14:paraId="29B6AD8E" w14:textId="77777777" w:rsidR="000E2DFA" w:rsidRPr="00FA510A" w:rsidRDefault="0003031B">
      <w:pPr>
        <w:spacing w:line="276" w:lineRule="auto"/>
        <w:jc w:val="both"/>
        <w:rPr>
          <w:rFonts w:ascii="Arial Narrow" w:eastAsia="Arial Narrow" w:hAnsi="Arial Narrow" w:cs="Arial Narrow"/>
          <w:b/>
          <w:color w:val="000000"/>
          <w:sz w:val="24"/>
          <w:szCs w:val="24"/>
          <w:u w:val="single"/>
        </w:rPr>
      </w:pPr>
      <w:r w:rsidRPr="00FA510A">
        <w:rPr>
          <w:rFonts w:ascii="Arial Narrow" w:eastAsia="Arial Narrow" w:hAnsi="Arial Narrow" w:cs="Arial Narrow"/>
          <w:b/>
          <w:sz w:val="24"/>
          <w:szCs w:val="24"/>
        </w:rPr>
        <w:t>Artículo 22:</w:t>
      </w:r>
      <w:r w:rsidRPr="00FA510A">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actividades peligrosas bajo los efectos del cannabis.</w:t>
      </w:r>
    </w:p>
    <w:p w14:paraId="602CD81B"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Parágrafo 1:</w:t>
      </w:r>
      <w:r w:rsidRPr="00FA510A">
        <w:rPr>
          <w:rFonts w:ascii="Arial Narrow" w:eastAsia="Arial Narrow" w:hAnsi="Arial Narrow" w:cs="Arial Narrow"/>
          <w:color w:val="000000"/>
          <w:sz w:val="24"/>
          <w:szCs w:val="24"/>
        </w:rPr>
        <w:t xml:space="preserve"> se deberá informar claramente en la etiqueta los riesgos asociados </w:t>
      </w:r>
      <w:r w:rsidRPr="00FA510A">
        <w:rPr>
          <w:rFonts w:ascii="Arial Narrow" w:eastAsia="Arial Narrow" w:hAnsi="Arial Narrow" w:cs="Arial Narrow"/>
          <w:sz w:val="24"/>
          <w:szCs w:val="24"/>
        </w:rPr>
        <w:t>al consumo</w:t>
      </w:r>
      <w:r w:rsidRPr="00FA510A">
        <w:rPr>
          <w:rFonts w:ascii="Arial Narrow" w:eastAsia="Arial Narrow" w:hAnsi="Arial Narrow" w:cs="Arial Narrow"/>
          <w:color w:val="000000"/>
          <w:sz w:val="24"/>
          <w:szCs w:val="24"/>
        </w:rPr>
        <w:t xml:space="preserve"> de cannabis.</w:t>
      </w:r>
    </w:p>
    <w:p w14:paraId="336B7480"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23:</w:t>
      </w:r>
      <w:r w:rsidRPr="00FA510A">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del cannabis.</w:t>
      </w:r>
    </w:p>
    <w:p w14:paraId="3C61338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24:</w:t>
      </w:r>
      <w:r w:rsidRPr="00FA510A">
        <w:rPr>
          <w:rFonts w:ascii="Arial Narrow" w:eastAsia="Arial Narrow" w:hAnsi="Arial Narrow" w:cs="Arial Narrow"/>
          <w:sz w:val="24"/>
          <w:szCs w:val="24"/>
        </w:rPr>
        <w:t xml:space="preserve"> Todos los productos deberán estar claramente etiquetados e informar el perfil cannabinoide.</w:t>
      </w:r>
    </w:p>
    <w:p w14:paraId="7802CAD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25: Todos los empaques</w:t>
      </w:r>
      <w:r w:rsidRPr="00FA510A">
        <w:rPr>
          <w:rFonts w:ascii="Arial Narrow" w:eastAsia="Arial Narrow" w:hAnsi="Arial Narrow" w:cs="Arial Narrow"/>
          <w:sz w:val="24"/>
          <w:szCs w:val="24"/>
        </w:rPr>
        <w:t xml:space="preserve"> tendrán un código de barras que permita identificar desde el software de monitoreo y control de inventario la trazabilidad de cada producto, el código de barras identificará, el cultivador, transportador, el procesador y el distribuidor.</w:t>
      </w:r>
    </w:p>
    <w:p w14:paraId="1E2D4DB0"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CAPÍTULO VI CANALES DE DISTRIBUCIÓN</w:t>
      </w:r>
    </w:p>
    <w:p w14:paraId="4B0A24D7" w14:textId="77777777" w:rsidR="000E2DFA" w:rsidRPr="00FA510A" w:rsidRDefault="0003031B">
      <w:pPr>
        <w:widowControl w:val="0"/>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26: </w:t>
      </w:r>
      <w:r w:rsidRPr="00FA510A">
        <w:rPr>
          <w:rFonts w:ascii="Arial Narrow" w:eastAsia="Arial Narrow" w:hAnsi="Arial Narrow" w:cs="Arial Narrow"/>
          <w:sz w:val="24"/>
          <w:szCs w:val="24"/>
        </w:rPr>
        <w:t>Se crearán establecimientos de dispensación mayorista y minorista de productos de la planta de cannabi</w:t>
      </w:r>
      <w:r w:rsidR="00730BAC" w:rsidRPr="00FA510A">
        <w:rPr>
          <w:rFonts w:ascii="Arial Narrow" w:eastAsia="Arial Narrow" w:hAnsi="Arial Narrow" w:cs="Arial Narrow"/>
          <w:sz w:val="24"/>
          <w:szCs w:val="24"/>
        </w:rPr>
        <w:t>s para uso adulto, de carácter p</w:t>
      </w:r>
      <w:r w:rsidRPr="00FA510A">
        <w:rPr>
          <w:rFonts w:ascii="Arial Narrow" w:eastAsia="Arial Narrow" w:hAnsi="Arial Narrow" w:cs="Arial Narrow"/>
          <w:sz w:val="24"/>
          <w:szCs w:val="24"/>
        </w:rPr>
        <w:t>úblico y/o privado. Estos establecimientos podrán comprar a cultivadores y procesadores licenciados o autorizados, para almacenar, vender y entregar, entre otras actividades propias de la etapa comercial de la cadena productiva. La entrega a cualquier título podrá realizarse únicamente a usuarios mayores de 18 años de cualquier nacionalidad.</w:t>
      </w:r>
    </w:p>
    <w:p w14:paraId="5F342605" w14:textId="77777777" w:rsidR="000E2DFA" w:rsidRPr="00FA510A" w:rsidRDefault="0003031B">
      <w:pPr>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2</w:t>
      </w:r>
      <w:r w:rsidRPr="00FA510A">
        <w:rPr>
          <w:rFonts w:ascii="Arial Narrow" w:eastAsia="Arial Narrow" w:hAnsi="Arial Narrow" w:cs="Arial Narrow"/>
          <w:b/>
          <w:sz w:val="24"/>
          <w:szCs w:val="24"/>
        </w:rPr>
        <w:t>7</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Las farmacias y droguerías, farmacias cannábicas o especializadas en productos de cannabis podrán solicitar una licencia de distribución y vender a mayores de 18 años flor de cannabis y sus derivados de uso adulto.</w:t>
      </w:r>
    </w:p>
    <w:p w14:paraId="6EA36674"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2</w:t>
      </w:r>
      <w:r w:rsidRPr="00FA510A">
        <w:rPr>
          <w:rFonts w:ascii="Arial Narrow" w:eastAsia="Arial Narrow" w:hAnsi="Arial Narrow" w:cs="Arial Narrow"/>
          <w:b/>
          <w:sz w:val="24"/>
          <w:szCs w:val="24"/>
        </w:rPr>
        <w:t>8</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Se podrá adquirir de manera virtual en una aplicación creada por el Ministerio de Justicia, la cual </w:t>
      </w:r>
      <w:r w:rsidRPr="00FA510A">
        <w:rPr>
          <w:rFonts w:ascii="Arial Narrow" w:eastAsia="Arial Narrow" w:hAnsi="Arial Narrow" w:cs="Arial Narrow"/>
          <w:sz w:val="24"/>
          <w:szCs w:val="24"/>
        </w:rPr>
        <w:t>consta</w:t>
      </w:r>
      <w:r w:rsidRPr="00FA510A">
        <w:rPr>
          <w:rFonts w:ascii="Arial Narrow" w:eastAsia="Arial Narrow" w:hAnsi="Arial Narrow" w:cs="Arial Narrow"/>
          <w:color w:val="000000"/>
          <w:sz w:val="24"/>
          <w:szCs w:val="24"/>
        </w:rPr>
        <w:t xml:space="preserve"> del registro del comprador, confirmación de identidad, confirmación de entrega personal donde solo se podrá pagar con métodos de pagos virtual.</w:t>
      </w:r>
    </w:p>
    <w:p w14:paraId="0D9E6BC7"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29: Cafés cannábicos:</w:t>
      </w:r>
      <w:r w:rsidRPr="00FA510A">
        <w:rPr>
          <w:rFonts w:ascii="Arial Narrow" w:eastAsia="Arial Narrow" w:hAnsi="Arial Narrow" w:cs="Arial Narrow"/>
          <w:color w:val="000000"/>
          <w:sz w:val="24"/>
          <w:szCs w:val="24"/>
        </w:rPr>
        <w:t xml:space="preserve"> Son lugares abiertos al público adulto en donde se permite el consumo libre de cannabis en cualquier presentación. Los productos que allí se comercialicen deben ser adquiridos a un cultivador o procesador legalmente establecido y debidamente licenciado</w:t>
      </w:r>
    </w:p>
    <w:p w14:paraId="119959AF"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 xml:space="preserve">Artículo 30: </w:t>
      </w:r>
      <w:r w:rsidRPr="00FA510A">
        <w:rPr>
          <w:rFonts w:ascii="Arial Narrow" w:eastAsia="Arial Narrow" w:hAnsi="Arial Narrow" w:cs="Arial Narrow"/>
          <w:sz w:val="24"/>
          <w:szCs w:val="24"/>
        </w:rPr>
        <w:t>El Ministerio de Justicia y del Derecho y el Ministerio de Salud y Protección Social deberá reglamentar los requerimientos para la obtención de licencia de distribución de cannabis de uso adulto teniendo en cuenta los siguientes parámetros</w:t>
      </w:r>
    </w:p>
    <w:p w14:paraId="43123E61"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Un encargado responsable legalmente del manejo del cannabis</w:t>
      </w:r>
    </w:p>
    <w:p w14:paraId="2DEFE4BC"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Áreas de almacenamiento y consumo deben estar separadas </w:t>
      </w:r>
    </w:p>
    <w:p w14:paraId="6726BD70"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543E53EB"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Los inventarios, compras y ventas deben estar registradas en el software de seguimiento y control que permitan hacer verificación a las autoridades competentes.</w:t>
      </w:r>
    </w:p>
    <w:p w14:paraId="76263D3A" w14:textId="77777777" w:rsidR="000E2DFA" w:rsidRPr="00FA510A" w:rsidRDefault="0003031B">
      <w:pPr>
        <w:numPr>
          <w:ilvl w:val="0"/>
          <w:numId w:val="2"/>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Deberán contar con un plan de difusión información clara, visible y coherente sobre los riesgos comprobados, efectos y contraindicaciones del consumo de cannabis y sus derivados.</w:t>
      </w:r>
    </w:p>
    <w:p w14:paraId="3407D8A0"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Parágrafo 1:</w:t>
      </w:r>
      <w:r w:rsidRPr="00FA510A">
        <w:rPr>
          <w:rFonts w:ascii="Arial Narrow" w:eastAsia="Arial Narrow" w:hAnsi="Arial Narrow" w:cs="Arial Narrow"/>
          <w:color w:val="000000"/>
          <w:sz w:val="24"/>
          <w:szCs w:val="24"/>
        </w:rPr>
        <w:t xml:space="preserve"> la licencia de distribución de cannabis de uso adulto tendrá las siguientes dos modalidades.</w:t>
      </w:r>
    </w:p>
    <w:p w14:paraId="2C0E4406" w14:textId="77777777" w:rsidR="000E2DFA" w:rsidRPr="00FA510A" w:rsidRDefault="0003031B">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Distribución de cannabis de uso adulto en </w:t>
      </w:r>
      <w:r w:rsidRPr="00FA510A">
        <w:rPr>
          <w:rFonts w:ascii="Arial Narrow" w:eastAsia="Arial Narrow" w:hAnsi="Arial Narrow" w:cs="Arial Narrow"/>
          <w:sz w:val="24"/>
          <w:szCs w:val="24"/>
        </w:rPr>
        <w:t>dispensarios</w:t>
      </w:r>
      <w:r w:rsidRPr="00FA510A">
        <w:rPr>
          <w:rFonts w:ascii="Arial Narrow" w:eastAsia="Arial Narrow" w:hAnsi="Arial Narrow" w:cs="Arial Narrow"/>
          <w:color w:val="000000"/>
          <w:sz w:val="24"/>
          <w:szCs w:val="24"/>
        </w:rPr>
        <w:t xml:space="preserve"> y farmacias.</w:t>
      </w:r>
    </w:p>
    <w:p w14:paraId="3A54621D" w14:textId="77777777" w:rsidR="000E2DFA" w:rsidRPr="00FA510A" w:rsidRDefault="0003031B">
      <w:pPr>
        <w:numPr>
          <w:ilvl w:val="0"/>
          <w:numId w:val="4"/>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Distribución de cannabis de uso adulto y consumo en instalaciones para cafés cannábicos.</w:t>
      </w:r>
    </w:p>
    <w:p w14:paraId="5244B465"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31: Clubes cannábicos</w:t>
      </w:r>
      <w:r w:rsidRPr="00FA510A">
        <w:rPr>
          <w:rFonts w:ascii="Arial Narrow" w:eastAsia="Arial Narrow" w:hAnsi="Arial Narrow" w:cs="Arial Narrow"/>
          <w:b/>
          <w:color w:val="2F5496"/>
          <w:sz w:val="24"/>
          <w:szCs w:val="24"/>
        </w:rPr>
        <w:t>:</w:t>
      </w:r>
      <w:r w:rsidRPr="00FA510A">
        <w:rPr>
          <w:rFonts w:ascii="Arial Narrow" w:eastAsia="Arial Narrow" w:hAnsi="Arial Narrow" w:cs="Arial Narrow"/>
          <w:sz w:val="24"/>
          <w:szCs w:val="24"/>
        </w:rPr>
        <w:t xml:space="preserve"> son modelos asociativos, sin ánimo de lucro, para autoabastecimiento a pequeña escala dónde se podrá cultivar en el establecimiento hasta 200 plantas de cannabis para distribuir flor y derivados artesanales exclusivamente a los miembros del club. Serán responsables legalmente de las infracciones que se puedan cometer al ordenamiento jurídico colombiano y las contempladas en esta ley. </w:t>
      </w:r>
    </w:p>
    <w:p w14:paraId="30C979EF"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32:</w:t>
      </w:r>
      <w:r w:rsidRPr="00FA510A">
        <w:rPr>
          <w:rFonts w:ascii="Arial Narrow" w:eastAsia="Arial Narrow" w:hAnsi="Arial Narrow" w:cs="Arial Narrow"/>
          <w:sz w:val="24"/>
          <w:szCs w:val="24"/>
        </w:rPr>
        <w:t xml:space="preserve"> Los Clubes cannábicos tendrán las siguientes restricciones y requerimientos </w:t>
      </w:r>
    </w:p>
    <w:p w14:paraId="3C57873D"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Un representante legal.</w:t>
      </w:r>
    </w:p>
    <w:p w14:paraId="04EBF898"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sz w:val="24"/>
          <w:szCs w:val="24"/>
        </w:rPr>
        <w:t>No se permitirá afiliaciones para personas menores de 18 años.</w:t>
      </w:r>
    </w:p>
    <w:p w14:paraId="6BAC92FE" w14:textId="77777777" w:rsidR="000E2DFA" w:rsidRPr="00FA510A" w:rsidRDefault="0003031B">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Solo podrán acceder a los servicios del club las personas afiliadas con membresía de la organización, los ingresos y actualizaciones se deberán reportar trimestralmente en el software de seguimiento y control del Ministerio de Justicia y Derecho.</w:t>
      </w:r>
    </w:p>
    <w:p w14:paraId="569007D1"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Registro en Cámara de Comercio.</w:t>
      </w:r>
    </w:p>
    <w:p w14:paraId="6E88CC57"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Los clubes serán de máximo 350 asociados y mínimo 10 asociados.</w:t>
      </w:r>
    </w:p>
    <w:p w14:paraId="111429A2"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4D8DE16D"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Deberán registrarse en las Secretarías de Salud Municipal y en el Ministerio de Justicia y Derecho</w:t>
      </w:r>
    </w:p>
    <w:p w14:paraId="570DE791"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Deberán difundir información clara, visible y coherente sobre los riesgos, efectos y contraindicaciones del consumo de cannabis y sus derivados.</w:t>
      </w:r>
    </w:p>
    <w:p w14:paraId="4B797EC4"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Se permitirá el acceso por parte de las entidades de control para confirmar la autenticidad de procesos y buen funcionamiento del establecimiento.</w:t>
      </w:r>
    </w:p>
    <w:p w14:paraId="0F00FDEC"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Solo se permitirá la afiliación mensual y no diaria al club.</w:t>
      </w:r>
    </w:p>
    <w:p w14:paraId="3419FC9C" w14:textId="77777777" w:rsidR="000E2DFA" w:rsidRPr="00FA510A" w:rsidRDefault="0003031B">
      <w:pPr>
        <w:numPr>
          <w:ilvl w:val="0"/>
          <w:numId w:val="3"/>
        </w:numPr>
        <w:spacing w:after="0" w:line="240"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Máximo una planta por cada miembro, la cual estará identificada con el afiliado respectivo.</w:t>
      </w:r>
    </w:p>
    <w:p w14:paraId="63FCB726" w14:textId="77777777" w:rsidR="000E2DFA" w:rsidRPr="00FA510A" w:rsidRDefault="000E2DFA">
      <w:pPr>
        <w:pBdr>
          <w:between w:val="nil"/>
        </w:pBdr>
        <w:spacing w:line="240" w:lineRule="auto"/>
        <w:jc w:val="both"/>
        <w:rPr>
          <w:rFonts w:ascii="Arial Narrow" w:eastAsia="Arial Narrow" w:hAnsi="Arial Narrow" w:cs="Arial Narrow"/>
          <w:sz w:val="24"/>
          <w:szCs w:val="24"/>
        </w:rPr>
      </w:pPr>
    </w:p>
    <w:p w14:paraId="710B1BC5"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w:t>
      </w:r>
      <w:r w:rsidRPr="00FA510A">
        <w:rPr>
          <w:rFonts w:ascii="Arial Narrow" w:eastAsia="Arial Narrow" w:hAnsi="Arial Narrow" w:cs="Arial Narrow"/>
          <w:b/>
          <w:color w:val="000000"/>
          <w:sz w:val="24"/>
          <w:szCs w:val="24"/>
        </w:rPr>
        <w:t xml:space="preserve"> VII PORTE</w:t>
      </w:r>
    </w:p>
    <w:p w14:paraId="52355524"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33: </w:t>
      </w:r>
      <w:r w:rsidRPr="00FA510A">
        <w:rPr>
          <w:rFonts w:ascii="Arial Narrow" w:eastAsia="Arial Narrow" w:hAnsi="Arial Narrow" w:cs="Arial Narrow"/>
          <w:sz w:val="24"/>
          <w:szCs w:val="24"/>
        </w:rPr>
        <w:t>las personas mayores de 18 años podrán adquirir en una sola compra hasta 20 gramos de flor cannabis y 5 gramos concentrados o extracciones por día.</w:t>
      </w:r>
    </w:p>
    <w:p w14:paraId="63103A9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34</w:t>
      </w:r>
      <w:r w:rsidRPr="00FA510A">
        <w:rPr>
          <w:rFonts w:ascii="Arial Narrow" w:eastAsia="Arial Narrow" w:hAnsi="Arial Narrow" w:cs="Arial Narrow"/>
          <w:sz w:val="24"/>
          <w:szCs w:val="24"/>
        </w:rPr>
        <w:t>: las personas que deseen comprar dosis mayores a 20 gramos se permitirá la compra hasta de 500 gramos de flor de cannabis. Estás personas deberán ser registradas en el software de control, transportar el cannabis en el empaque original debidamente sellado y sin ningún tipo de manipulación.</w:t>
      </w:r>
    </w:p>
    <w:p w14:paraId="00A49E02"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VIII LICENCIAS</w:t>
      </w:r>
    </w:p>
    <w:p w14:paraId="464E5C76"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35: </w:t>
      </w:r>
      <w:r w:rsidRPr="00FA510A">
        <w:rPr>
          <w:rFonts w:ascii="Arial Narrow" w:eastAsia="Arial Narrow" w:hAnsi="Arial Narrow" w:cs="Arial Narrow"/>
          <w:sz w:val="24"/>
          <w:szCs w:val="24"/>
        </w:rPr>
        <w:t>Todos los licenciatarios del cannabis para uso adulto deberán ser ciudadanos colombianos o residentes permanentes, en el caso de las sociedades el 100% de los socios deberán ser ciudadanos colombianos o residentes permanentes.</w:t>
      </w:r>
    </w:p>
    <w:p w14:paraId="473DFB60"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36: </w:t>
      </w:r>
      <w:r w:rsidRPr="00FA510A">
        <w:rPr>
          <w:rFonts w:ascii="Arial Narrow" w:eastAsia="Arial Narrow" w:hAnsi="Arial Narrow" w:cs="Arial Narrow"/>
          <w:sz w:val="24"/>
          <w:szCs w:val="24"/>
        </w:rPr>
        <w:t>El Ministerio de Justicia y del Derecho y el Ministerio de Salud y protección Social implementarán una ventanilla única interoperable para la solicitud de licencias entre todas las entidades encargadas de expedirlas.</w:t>
      </w:r>
    </w:p>
    <w:p w14:paraId="2FE17562"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3</w:t>
      </w:r>
      <w:r w:rsidRPr="00FA510A">
        <w:rPr>
          <w:rFonts w:ascii="Arial Narrow" w:eastAsia="Arial Narrow" w:hAnsi="Arial Narrow" w:cs="Arial Narrow"/>
          <w:b/>
          <w:sz w:val="24"/>
          <w:szCs w:val="24"/>
        </w:rPr>
        <w:t>7</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b/>
          <w:color w:val="000000"/>
          <w:sz w:val="24"/>
          <w:szCs w:val="24"/>
        </w:rPr>
        <w:t>Licencia laboratorio de analítica</w:t>
      </w:r>
      <w:r w:rsidRPr="00FA510A">
        <w:rPr>
          <w:rFonts w:ascii="Arial Narrow" w:eastAsia="Arial Narrow" w:hAnsi="Arial Narrow" w:cs="Arial Narrow"/>
          <w:color w:val="000000"/>
          <w:sz w:val="24"/>
          <w:szCs w:val="24"/>
        </w:rPr>
        <w:t>: el INVIMA deberá reglamentar los protocolos para certificar laboratorios que puedan por medio de análisis de cromatografía HPLC analizar y expedir certificados de análisis</w:t>
      </w:r>
    </w:p>
    <w:p w14:paraId="7760EC77"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3</w:t>
      </w:r>
      <w:r w:rsidRPr="00FA510A">
        <w:rPr>
          <w:rFonts w:ascii="Arial Narrow" w:eastAsia="Arial Narrow" w:hAnsi="Arial Narrow" w:cs="Arial Narrow"/>
          <w:b/>
          <w:sz w:val="24"/>
          <w:szCs w:val="24"/>
        </w:rPr>
        <w:t>8</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los Ministerios encargados de expedir las licencias deberán implementar en un </w:t>
      </w:r>
      <w:r w:rsidRPr="00FA510A">
        <w:rPr>
          <w:rFonts w:ascii="Arial Narrow" w:eastAsia="Arial Narrow" w:hAnsi="Arial Narrow" w:cs="Arial Narrow"/>
          <w:sz w:val="24"/>
          <w:szCs w:val="24"/>
        </w:rPr>
        <w:t>término máximo de seis (6) meses a partir de la vigencia de la presente Ley,</w:t>
      </w:r>
      <w:r w:rsidRPr="00FA510A">
        <w:rPr>
          <w:rFonts w:ascii="Arial Narrow" w:eastAsia="Arial Narrow" w:hAnsi="Arial Narrow" w:cs="Arial Narrow"/>
          <w:color w:val="000000"/>
          <w:sz w:val="24"/>
          <w:szCs w:val="24"/>
        </w:rPr>
        <w:t xml:space="preserve"> herramientas y recursos que incluyan publicación de los protocolos y documentos de trabajo, tutoriales en video publicados en línea para garantizar que las partes tenga acceso a la misma información.</w:t>
      </w:r>
    </w:p>
    <w:p w14:paraId="5C5C9674"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Artículos 39</w:t>
      </w:r>
      <w:r w:rsidRPr="00FA510A">
        <w:rPr>
          <w:rFonts w:ascii="Arial Narrow" w:eastAsia="Arial Narrow" w:hAnsi="Arial Narrow" w:cs="Arial Narrow"/>
          <w:sz w:val="24"/>
          <w:szCs w:val="24"/>
        </w:rPr>
        <w:t>:</w:t>
      </w:r>
      <w:r w:rsidRPr="00FA510A">
        <w:rPr>
          <w:rFonts w:ascii="Arial Narrow" w:eastAsia="Arial Narrow" w:hAnsi="Arial Narrow" w:cs="Arial Narrow"/>
          <w:color w:val="000000"/>
          <w:sz w:val="24"/>
          <w:szCs w:val="24"/>
        </w:rPr>
        <w:t xml:space="preserve"> e</w:t>
      </w:r>
      <w:r w:rsidRPr="00FA510A">
        <w:rPr>
          <w:rFonts w:ascii="Arial Narrow" w:eastAsia="Arial Narrow" w:hAnsi="Arial Narrow" w:cs="Arial Narrow"/>
          <w:sz w:val="24"/>
          <w:szCs w:val="24"/>
        </w:rPr>
        <w:t xml:space="preserve">l estudio y decisión sobre las solicitudes de las licencias radicadas en la ventanilla única tendrá una respuesta definitiva en máximo noventa (90) días hábiles.   </w:t>
      </w:r>
    </w:p>
    <w:p w14:paraId="6704B87B"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En caso de ser negada una licencia se deberá argumentar la razón de su rechazo.</w:t>
      </w:r>
    </w:p>
    <w:p w14:paraId="3B262671"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 IX PROHIBICIONES Y RESTRICCIONES</w:t>
      </w:r>
    </w:p>
    <w:p w14:paraId="419D9C23"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40:</w:t>
      </w:r>
      <w:r w:rsidRPr="00FA510A">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o diversidad sociocultural las consecuencias del consumo. </w:t>
      </w:r>
    </w:p>
    <w:p w14:paraId="567BB172"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41:</w:t>
      </w:r>
      <w:r w:rsidRPr="00FA510A">
        <w:rPr>
          <w:rFonts w:ascii="Arial Narrow" w:eastAsia="Arial Narrow" w:hAnsi="Arial Narrow" w:cs="Arial Narrow"/>
          <w:b/>
          <w:sz w:val="24"/>
          <w:szCs w:val="24"/>
          <w:u w:val="single"/>
        </w:rPr>
        <w:t xml:space="preserve"> </w:t>
      </w:r>
      <w:r w:rsidRPr="00FA510A">
        <w:rPr>
          <w:rFonts w:ascii="Arial Narrow" w:eastAsia="Arial Narrow" w:hAnsi="Arial Narrow" w:cs="Arial Narrow"/>
          <w:sz w:val="24"/>
          <w:szCs w:val="24"/>
        </w:rPr>
        <w:t>los menores de 18 años no podrán ser parte ni estar presentes en ningún proceso de la cadena de producción y distribución de cannabis de uso adulto.</w:t>
      </w:r>
    </w:p>
    <w:p w14:paraId="62534E3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42</w:t>
      </w:r>
      <w:r w:rsidRPr="00FA510A">
        <w:rPr>
          <w:rFonts w:ascii="Arial Narrow" w:eastAsia="Arial Narrow" w:hAnsi="Arial Narrow" w:cs="Arial Narrow"/>
          <w:sz w:val="24"/>
          <w:szCs w:val="24"/>
        </w:rPr>
        <w:t>: La venta del cannabis de uso adulto tendrá las siguientes restricciones:</w:t>
      </w:r>
    </w:p>
    <w:p w14:paraId="30ED3C40"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Se restringe toda forma de publicidad, promoción o patrocinio de productos de cannabis de uso adulto y sus derivados.</w:t>
      </w:r>
    </w:p>
    <w:p w14:paraId="182D1EAC"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Los lugares de distribución, cafés cannábicos y clubes cannábicos tienen prohibido tener cualquier tipo de publicidad o anuncio a la calle que hagan referencia explícita al cannabis.</w:t>
      </w:r>
    </w:p>
    <w:p w14:paraId="15FE6189"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Se prohíbe por fuera de los lugares licenciados para distribución el uso de máquinas expendedoras o dispensadores mecánicos de cannabis o derivados del cannabis.</w:t>
      </w:r>
    </w:p>
    <w:p w14:paraId="5AF08F52"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sz w:val="24"/>
          <w:szCs w:val="24"/>
        </w:rPr>
        <w:t>No puede</w:t>
      </w:r>
      <w:r w:rsidRPr="00FA510A">
        <w:rPr>
          <w:rFonts w:ascii="Arial Narrow" w:eastAsia="Arial Narrow" w:hAnsi="Arial Narrow" w:cs="Arial Narrow"/>
          <w:color w:val="000000"/>
          <w:sz w:val="24"/>
          <w:szCs w:val="24"/>
        </w:rPr>
        <w:t xml:space="preserve"> venderse flor de cannabis ni sus derivados a personas bajo la influencia del alcohol.</w:t>
      </w:r>
    </w:p>
    <w:p w14:paraId="59B732BA" w14:textId="77777777" w:rsidR="000E2DFA" w:rsidRPr="00FA510A" w:rsidRDefault="0003031B">
      <w:pPr>
        <w:numPr>
          <w:ilvl w:val="0"/>
          <w:numId w:val="6"/>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sz w:val="24"/>
          <w:szCs w:val="24"/>
        </w:rPr>
        <w:t>No podrán existir impulsadores o pregoneros a las afueras de dichos lugares.</w:t>
      </w:r>
    </w:p>
    <w:p w14:paraId="6421DFA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Parágrafo 1:</w:t>
      </w:r>
      <w:r w:rsidRPr="00FA510A">
        <w:rPr>
          <w:rFonts w:ascii="Arial Narrow" w:eastAsia="Arial Narrow" w:hAnsi="Arial Narrow" w:cs="Arial Narrow"/>
          <w:color w:val="000000"/>
          <w:sz w:val="24"/>
          <w:szCs w:val="24"/>
        </w:rPr>
        <w:t xml:space="preserve"> Se permite la publicidad digital de productos de cannabis de uso adulto en </w:t>
      </w:r>
      <w:r w:rsidRPr="00FA510A">
        <w:rPr>
          <w:rFonts w:ascii="Arial Narrow" w:eastAsia="Arial Narrow" w:hAnsi="Arial Narrow" w:cs="Arial Narrow"/>
          <w:sz w:val="24"/>
          <w:szCs w:val="24"/>
        </w:rPr>
        <w:t>páginas</w:t>
      </w:r>
      <w:r w:rsidRPr="00FA510A">
        <w:rPr>
          <w:rFonts w:ascii="Arial Narrow" w:eastAsia="Arial Narrow" w:hAnsi="Arial Narrow" w:cs="Arial Narrow"/>
          <w:color w:val="000000"/>
          <w:sz w:val="24"/>
          <w:szCs w:val="24"/>
        </w:rPr>
        <w:t xml:space="preserve"> de contenidos para adultos</w:t>
      </w:r>
    </w:p>
    <w:p w14:paraId="028E4B4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43</w:t>
      </w:r>
      <w:r w:rsidRPr="00FA510A">
        <w:rPr>
          <w:rFonts w:ascii="Arial Narrow" w:eastAsia="Arial Narrow" w:hAnsi="Arial Narrow" w:cs="Arial Narrow"/>
          <w:b/>
          <w:color w:val="1F3863"/>
          <w:sz w:val="24"/>
          <w:szCs w:val="24"/>
        </w:rPr>
        <w:t>:</w:t>
      </w:r>
      <w:r w:rsidRPr="00FA510A">
        <w:rPr>
          <w:rFonts w:ascii="Arial Narrow" w:eastAsia="Arial Narrow" w:hAnsi="Arial Narrow" w:cs="Arial Narrow"/>
          <w:sz w:val="24"/>
          <w:szCs w:val="24"/>
        </w:rPr>
        <w:t xml:space="preserve"> Los puntos de venta deben estar al menos a 300 metros de los entornos educativos, centros de recreación, parques con juegos infantiles, centros deportivos, edificios religiosos, centros correccionales, centros de rehabilitación.</w:t>
      </w:r>
    </w:p>
    <w:p w14:paraId="27EAF0C9"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44</w:t>
      </w:r>
      <w:r w:rsidRPr="00FA510A">
        <w:rPr>
          <w:rFonts w:ascii="Arial Narrow" w:eastAsia="Arial Narrow" w:hAnsi="Arial Narrow" w:cs="Arial Narrow"/>
          <w:sz w:val="24"/>
          <w:szCs w:val="24"/>
        </w:rPr>
        <w:t>: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jurídicos tutelados de terceros. El método de detección del nivel de cannabis debe estar sustentado en evidencia científica y no a discrecionalidad subjetiva de las autoridades competentes.</w:t>
      </w:r>
    </w:p>
    <w:p w14:paraId="7B240A83"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45: </w:t>
      </w:r>
      <w:r w:rsidRPr="00FA510A">
        <w:rPr>
          <w:rFonts w:ascii="Arial Narrow" w:eastAsia="Arial Narrow" w:hAnsi="Arial Narrow" w:cs="Arial Narrow"/>
          <w:sz w:val="24"/>
          <w:szCs w:val="24"/>
        </w:rPr>
        <w:t>No se podrá consumir cannabis a menos de 100 metros de escuelas, centros de recreación, parques con juegos infantiles, centros deportivos, centros de rehabilitación, sistemas de transporte y edificios religiosos en los horarios de uso y servicio.</w:t>
      </w:r>
    </w:p>
    <w:p w14:paraId="30B43CFA"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w:t>
      </w:r>
      <w:r w:rsidRPr="00FA510A">
        <w:rPr>
          <w:rFonts w:ascii="Arial Narrow" w:eastAsia="Arial Narrow" w:hAnsi="Arial Narrow" w:cs="Arial Narrow"/>
          <w:sz w:val="24"/>
          <w:szCs w:val="24"/>
        </w:rPr>
        <w:t>En los parques no se podrá consumir cannabis de 6:00 am a 8:00 pm o mientras existan actividades deportivas, recreativas, familiares o comunitarias.</w:t>
      </w:r>
    </w:p>
    <w:p w14:paraId="0D940031"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w:t>
      </w:r>
      <w:r w:rsidRPr="00FA510A">
        <w:rPr>
          <w:rFonts w:ascii="Arial Narrow" w:eastAsia="Arial Narrow" w:hAnsi="Arial Narrow" w:cs="Arial Narrow"/>
          <w:b/>
          <w:color w:val="000000"/>
          <w:sz w:val="24"/>
          <w:szCs w:val="24"/>
        </w:rPr>
        <w:t xml:space="preserve"> </w:t>
      </w:r>
      <w:r w:rsidRPr="00FA510A">
        <w:rPr>
          <w:rFonts w:ascii="Arial Narrow" w:eastAsia="Arial Narrow" w:hAnsi="Arial Narrow" w:cs="Arial Narrow"/>
          <w:b/>
          <w:sz w:val="24"/>
          <w:szCs w:val="24"/>
        </w:rPr>
        <w:t>46</w:t>
      </w:r>
      <w:r w:rsidRPr="00FA510A">
        <w:rPr>
          <w:rFonts w:ascii="Arial Narrow" w:eastAsia="Arial Narrow" w:hAnsi="Arial Narrow" w:cs="Arial Narrow"/>
          <w:b/>
          <w:color w:val="000000"/>
          <w:sz w:val="24"/>
          <w:szCs w:val="24"/>
        </w:rPr>
        <w:t xml:space="preserve">: </w:t>
      </w:r>
      <w:r w:rsidRPr="00FA510A">
        <w:rPr>
          <w:rFonts w:ascii="Arial Narrow" w:eastAsia="Arial Narrow" w:hAnsi="Arial Narrow" w:cs="Arial Narrow"/>
          <w:color w:val="000000"/>
          <w:sz w:val="24"/>
          <w:szCs w:val="24"/>
        </w:rPr>
        <w:t>La persona, natural o jurídica, que incumplan con las prohibiciones incurrirán en las penas establecidas en el Código Penal Colombiano y las demás disposiciones que reglamenten o complementen la materia.</w:t>
      </w:r>
    </w:p>
    <w:p w14:paraId="01D8023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47:</w:t>
      </w:r>
      <w:r w:rsidRPr="00FA510A">
        <w:rPr>
          <w:rFonts w:ascii="Arial Narrow" w:eastAsia="Arial Narrow" w:hAnsi="Arial Narrow" w:cs="Arial Narrow"/>
          <w:sz w:val="24"/>
          <w:szCs w:val="24"/>
        </w:rPr>
        <w:t xml:space="preserve"> El gobierno nacional podrá restringir la importación de flor de cannabis y sus derivados para uso adulto.</w:t>
      </w:r>
    </w:p>
    <w:p w14:paraId="56D9A41D"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 SALUD PÚBLICA Y POLÍTICAS DE CUIDADO</w:t>
      </w:r>
    </w:p>
    <w:p w14:paraId="7679C5D9"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48:</w:t>
      </w:r>
      <w:r w:rsidRPr="00FA510A">
        <w:rPr>
          <w:rFonts w:ascii="Arial Narrow" w:eastAsia="Arial Narrow" w:hAnsi="Arial Narrow" w:cs="Arial Narrow"/>
          <w:sz w:val="24"/>
          <w:szCs w:val="24"/>
        </w:rPr>
        <w:t xml:space="preserve"> El Ministerio de Salud deberá desarrollar un protocolo análisis de cromatografía líquida de alto rendimiento (HPLC) que certifique la no presencia de contaminantes, incluidos los microorganismos, material extraño, metales pesados, microtoxinas, pesticidas, solventes residuales además de analizar el perfil cannabinoide en los productos</w:t>
      </w:r>
      <w:r w:rsidRPr="00FA510A">
        <w:rPr>
          <w:rFonts w:ascii="Arial Narrow" w:eastAsia="Arial Narrow" w:hAnsi="Arial Narrow" w:cs="Arial Narrow"/>
          <w:color w:val="000000"/>
          <w:sz w:val="24"/>
          <w:szCs w:val="24"/>
        </w:rPr>
        <w:t>.</w:t>
      </w:r>
    </w:p>
    <w:p w14:paraId="38A81A75"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El análisis se deberá realizar a partir de una muestra aleatoria y representativa de los totales de producción de una cosecha del cultivador, es decir un solo análisis aplicará para el lote completo de producción. </w:t>
      </w:r>
    </w:p>
    <w:p w14:paraId="240BC17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49:</w:t>
      </w:r>
      <w:r w:rsidRPr="00FA510A">
        <w:rPr>
          <w:rFonts w:ascii="Arial Narrow" w:eastAsia="Arial Narrow" w:hAnsi="Arial Narrow" w:cs="Arial Narrow"/>
          <w:sz w:val="24"/>
          <w:szCs w:val="24"/>
        </w:rPr>
        <w:t xml:space="preserve"> El distribuidor debe actuar como una fuente de información confiable y precisa, y dar asesoramiento en los métodos más seguros de uso, los riesgos de conducir bajo la influencia de cannabis y los sitios dónde las personas pueden buscar ayuda o consejo si tienen preocupaciones acerca de su uso consumo.</w:t>
      </w:r>
    </w:p>
    <w:p w14:paraId="7209A63A"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El Ministerio de Salud en conjunto del Ministerio de Educación Nacional desarrollarán programas de capacitaciones presenciales y/o virtuales de forma gratuita a licenciatarios y su personal en temas relacionados al uso de cannabis, la salud pública, los riesgos comprobados asociados al consumo de cannabis, prevención del consumo especialmente en menores de edad, la ruta de atención al consumo problemático y aspectos normativos de la regulación.</w:t>
      </w:r>
    </w:p>
    <w:p w14:paraId="773B0184" w14:textId="20F21894" w:rsidR="000E2DFA" w:rsidRPr="00FA510A" w:rsidRDefault="0003031B">
      <w:pPr>
        <w:spacing w:line="276" w:lineRule="auto"/>
        <w:jc w:val="both"/>
        <w:rPr>
          <w:rFonts w:ascii="Arial Narrow" w:eastAsia="Arial Narrow" w:hAnsi="Arial Narrow" w:cs="Arial Narrow"/>
          <w:b/>
          <w:sz w:val="24"/>
          <w:szCs w:val="24"/>
        </w:rPr>
      </w:pPr>
      <w:r w:rsidRPr="00FA510A">
        <w:rPr>
          <w:rFonts w:ascii="Arial Narrow" w:eastAsia="Arial Narrow" w:hAnsi="Arial Narrow" w:cs="Arial Narrow"/>
          <w:b/>
          <w:sz w:val="24"/>
          <w:szCs w:val="24"/>
        </w:rPr>
        <w:t xml:space="preserve">Artículo 50: </w:t>
      </w:r>
      <w:r w:rsidRPr="00FA510A">
        <w:rPr>
          <w:rFonts w:ascii="Arial Narrow" w:eastAsia="Arial Narrow" w:hAnsi="Arial Narrow" w:cs="Arial Narrow"/>
          <w:sz w:val="24"/>
          <w:szCs w:val="24"/>
        </w:rPr>
        <w:t>El Ministerio de Salud desarrollará herramientas para capacitar a los médicos, psicólogos y otros profesionales de servicios sociales y de salud en la ruta de atención a las personas con un uso problemático de cannabis.</w:t>
      </w:r>
    </w:p>
    <w:p w14:paraId="2DB62E4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51: Atención integral a habitantes de calle:</w:t>
      </w:r>
      <w:r w:rsidRPr="00FA510A">
        <w:rPr>
          <w:rFonts w:ascii="Arial Narrow" w:eastAsia="Arial Narrow" w:hAnsi="Arial Narrow" w:cs="Arial Narrow"/>
          <w:sz w:val="24"/>
          <w:szCs w:val="24"/>
        </w:rPr>
        <w:t xml:space="preserve"> Se destinará el 25% de los recursos derivados del recaudo por los impuestos generados del nuevo mercado del cannabis a instituciones prestadoras de salud públicas, Gobiernos Departamentales y Municipios para la rehabilitación integral, tratamiento y reinserción de habitantes de calle, así como garantizar el acceso a los servicios de salud a quien lo requiera. </w:t>
      </w:r>
    </w:p>
    <w:p w14:paraId="1F700AFF" w14:textId="2F34B16E" w:rsidR="00FA510A" w:rsidRPr="00FA510A" w:rsidRDefault="005B0BE1" w:rsidP="00FA510A">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52</w:t>
      </w:r>
      <w:r w:rsidR="0003031B" w:rsidRPr="00FA510A">
        <w:rPr>
          <w:rFonts w:ascii="Arial Narrow" w:eastAsia="Arial Narrow" w:hAnsi="Arial Narrow" w:cs="Arial Narrow"/>
          <w:b/>
          <w:sz w:val="24"/>
          <w:szCs w:val="24"/>
        </w:rPr>
        <w:t>:</w:t>
      </w:r>
      <w:r w:rsidR="0003031B" w:rsidRPr="00FA510A">
        <w:rPr>
          <w:rFonts w:ascii="Arial Narrow" w:eastAsia="Arial Narrow" w:hAnsi="Arial Narrow" w:cs="Arial Narrow"/>
          <w:sz w:val="24"/>
          <w:szCs w:val="24"/>
        </w:rPr>
        <w:t xml:space="preserve"> </w:t>
      </w:r>
      <w:r w:rsidR="00FA510A" w:rsidRPr="00FA510A">
        <w:rPr>
          <w:rFonts w:ascii="Arial Narrow" w:eastAsia="Arial Narrow" w:hAnsi="Arial Narrow" w:cs="Arial Narrow"/>
          <w:sz w:val="24"/>
          <w:szCs w:val="24"/>
        </w:rPr>
        <w:t>El Ministerio de Educación, a través de las Secretarias de Educación, implementarán, dentro de la autonomía de las instituciones educativas establecida en el Artículo 77 de la Ley 115 de 1994 o norma que la modifique o sustituya, programas, cátedras y campañas formativas y de socialización sobre la prevención y efectos nocivos del uso de sustancias psicoactivas.</w:t>
      </w:r>
    </w:p>
    <w:p w14:paraId="26E878E7" w14:textId="28629EC5" w:rsidR="00FA510A" w:rsidRPr="00FA510A" w:rsidRDefault="00FA510A" w:rsidP="00FA510A">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w:t>
      </w:r>
      <w:r w:rsidRPr="00FA510A">
        <w:rPr>
          <w:rFonts w:ascii="Arial Narrow" w:eastAsia="Arial Narrow" w:hAnsi="Arial Narrow" w:cs="Arial Narrow"/>
          <w:sz w:val="24"/>
          <w:szCs w:val="24"/>
        </w:rPr>
        <w:t>El Ministerio de Educación Nacional, o la entidad que determine la ley, vigilará la implementación y cumplimiento de este artículo.</w:t>
      </w:r>
    </w:p>
    <w:p w14:paraId="411AF180" w14:textId="4E1C1899"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El Ministerio de Educación a través de las Secretarias de Educación implementarán dentro de la autonomía establecida en el Artículo 77 de la Ley 115 de 1994 o norma que la modifique o sustituya de las instituciones educativas programas, cátedras y campañas formativas y de socialización sobre la prevención y efectos nocivos del uso de sustancias psicoactivas.</w:t>
      </w:r>
    </w:p>
    <w:p w14:paraId="41AF97D0"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w:t>
      </w:r>
      <w:r w:rsidRPr="00FA510A">
        <w:rPr>
          <w:rFonts w:ascii="Arial Narrow" w:eastAsia="Arial Narrow" w:hAnsi="Arial Narrow" w:cs="Arial Narrow"/>
          <w:sz w:val="24"/>
          <w:szCs w:val="24"/>
        </w:rPr>
        <w:t>El Ministerio de Educación Nacional o la entidad que determine la ley, vigilará la implementación y cumplimiento de este artículo.</w:t>
      </w:r>
    </w:p>
    <w:p w14:paraId="085FD803"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 XI POLÍTICAS DE EQUIDAD SOCIAL</w:t>
      </w:r>
    </w:p>
    <w:p w14:paraId="5FEEAF93" w14:textId="660AFBB6" w:rsidR="000E2DFA" w:rsidRPr="00FA510A" w:rsidRDefault="005B0BE1">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53</w:t>
      </w:r>
      <w:r w:rsidR="0003031B" w:rsidRPr="00FA510A">
        <w:rPr>
          <w:rFonts w:ascii="Arial Narrow" w:eastAsia="Arial Narrow" w:hAnsi="Arial Narrow" w:cs="Arial Narrow"/>
          <w:b/>
          <w:sz w:val="24"/>
          <w:szCs w:val="24"/>
        </w:rPr>
        <w:t>. Fomento del trabajo asociativo.</w:t>
      </w:r>
      <w:r w:rsidR="0003031B" w:rsidRPr="00FA510A">
        <w:rPr>
          <w:rFonts w:ascii="Arial Narrow" w:eastAsia="Arial Narrow" w:hAnsi="Arial Narrow" w:cs="Arial Narrow"/>
          <w:sz w:val="24"/>
          <w:szCs w:val="24"/>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p w14:paraId="62D274FD" w14:textId="77777777" w:rsidR="000E2DFA" w:rsidRPr="00FA510A" w:rsidRDefault="0003031B">
      <w:pPr>
        <w:spacing w:line="276" w:lineRule="auto"/>
        <w:jc w:val="both"/>
        <w:rPr>
          <w:rFonts w:ascii="Arial Narrow" w:eastAsia="Arial Narrow" w:hAnsi="Arial Narrow" w:cs="Arial Narrow"/>
          <w:strike/>
          <w:sz w:val="24"/>
          <w:szCs w:val="24"/>
        </w:rPr>
      </w:pPr>
      <w:r w:rsidRPr="00FA510A">
        <w:rPr>
          <w:rFonts w:ascii="Arial Narrow" w:eastAsia="Arial Narrow" w:hAnsi="Arial Narrow" w:cs="Arial Narrow"/>
          <w:b/>
          <w:sz w:val="24"/>
          <w:szCs w:val="24"/>
        </w:rPr>
        <w:t>Artículo 54: Cultivo comunidades organizadas</w:t>
      </w:r>
      <w:r w:rsidRPr="00FA510A">
        <w:rPr>
          <w:rFonts w:ascii="Arial Narrow" w:eastAsia="Arial Narrow" w:hAnsi="Arial Narrow" w:cs="Arial Narrow"/>
          <w:color w:val="000000"/>
          <w:sz w:val="24"/>
          <w:szCs w:val="24"/>
        </w:rPr>
        <w:t>:</w:t>
      </w:r>
      <w:r w:rsidRPr="00FA510A">
        <w:rPr>
          <w:rFonts w:ascii="Arial Narrow" w:eastAsia="Arial Narrow" w:hAnsi="Arial Narrow" w:cs="Arial Narrow"/>
          <w:b/>
          <w:sz w:val="24"/>
          <w:szCs w:val="24"/>
        </w:rPr>
        <w:t xml:space="preserve"> </w:t>
      </w:r>
      <w:r w:rsidRPr="00FA510A">
        <w:rPr>
          <w:rFonts w:ascii="Arial Narrow" w:eastAsia="Arial Narrow" w:hAnsi="Arial Narrow" w:cs="Arial Narrow"/>
          <w:sz w:val="24"/>
          <w:szCs w:val="24"/>
        </w:rPr>
        <w:t>Se</w:t>
      </w:r>
      <w:r w:rsidRPr="00FA510A">
        <w:rPr>
          <w:rFonts w:ascii="Arial Narrow" w:eastAsia="Arial Narrow" w:hAnsi="Arial Narrow" w:cs="Arial Narrow"/>
          <w:color w:val="000000"/>
          <w:sz w:val="24"/>
          <w:szCs w:val="24"/>
          <w:highlight w:val="white"/>
        </w:rPr>
        <w:t xml:space="preserve"> </w:t>
      </w:r>
      <w:r w:rsidRPr="00FA510A">
        <w:rPr>
          <w:rFonts w:ascii="Arial Narrow" w:eastAsia="Arial Narrow" w:hAnsi="Arial Narrow" w:cs="Arial Narrow"/>
          <w:sz w:val="24"/>
          <w:szCs w:val="24"/>
        </w:rPr>
        <w:t xml:space="preserve">otorgará el 70% de las licencias </w:t>
      </w:r>
      <w:r w:rsidRPr="00FA510A">
        <w:rPr>
          <w:rFonts w:ascii="Arial Narrow" w:eastAsia="Arial Narrow" w:hAnsi="Arial Narrow" w:cs="Arial Narrow"/>
          <w:color w:val="000000"/>
          <w:sz w:val="24"/>
          <w:szCs w:val="24"/>
        </w:rPr>
        <w:t xml:space="preserve">de </w:t>
      </w:r>
      <w:r w:rsidRPr="00FA510A">
        <w:rPr>
          <w:rFonts w:ascii="Arial Narrow" w:eastAsia="Arial Narrow" w:hAnsi="Arial Narrow" w:cs="Arial Narrow"/>
          <w:sz w:val="24"/>
          <w:szCs w:val="24"/>
        </w:rPr>
        <w:t>Cultivo de cannabis de uso adulto a agremiaciones o asociaciones de comunidades con cultivos preexistentes, víctimas del conflicto armado en el que en su territorio históricamente se ha cultivado cannabis.</w:t>
      </w:r>
    </w:p>
    <w:p w14:paraId="3EDEFEE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xml:space="preserve"> Será el Ministerio de Justicia y Derecho el encargado de certificar las comunidades beneficiarias de las licencias para poblaciones étnicas y campesinas.</w:t>
      </w:r>
    </w:p>
    <w:p w14:paraId="0BE5BA77"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55: Semillas Nativas:</w:t>
      </w:r>
      <w:r w:rsidRPr="00FA510A">
        <w:rPr>
          <w:rFonts w:ascii="Arial Narrow" w:eastAsia="Arial Narrow" w:hAnsi="Arial Narrow" w:cs="Arial Narrow"/>
          <w:b/>
          <w:color w:val="2F5496"/>
          <w:sz w:val="24"/>
          <w:szCs w:val="24"/>
          <w:u w:val="single"/>
        </w:rPr>
        <w:t xml:space="preserve"> </w:t>
      </w:r>
      <w:r w:rsidRPr="00FA510A">
        <w:rPr>
          <w:rFonts w:ascii="Arial Narrow" w:eastAsia="Arial Narrow" w:hAnsi="Arial Narrow" w:cs="Arial Narrow"/>
          <w:sz w:val="24"/>
          <w:szCs w:val="24"/>
        </w:rPr>
        <w:t>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 No será requisito registrar semilla de uso adulto ante ICA, realizar pruebas de evaluación agronómica ni estará sujeto a preaprobaciones de cupos de ninguna entidad.</w:t>
      </w:r>
    </w:p>
    <w:p w14:paraId="072F12D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Las comunidades étnicas y campesinas agremiadas con cultivos preexistentes podrán continuar haciendo uso de sus cultivares nativos que han sido tradicionalmente cultivadas en sus territorios y podrán denominar sus propias variedades con un certificado de análisis cromatográfico realizado por un laboratorio autorizado como requisito.   </w:t>
      </w:r>
    </w:p>
    <w:p w14:paraId="33F29102"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56:</w:t>
      </w:r>
      <w:r w:rsidRPr="00FA510A">
        <w:rPr>
          <w:rFonts w:ascii="Arial Narrow" w:eastAsia="Arial Narrow" w:hAnsi="Arial Narrow" w:cs="Arial Narrow"/>
          <w:sz w:val="24"/>
          <w:szCs w:val="24"/>
        </w:rPr>
        <w:t xml:space="preserve"> Por lo menos el 50% de la flor del cannabis de uso adulto que se distribuya en los puntos de distribución deberán provenir de cultivos de agremiaciones de poblaciones étnicas y campesinas con cultivos preexistentes.</w:t>
      </w:r>
    </w:p>
    <w:p w14:paraId="7BB1B77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57:</w:t>
      </w:r>
      <w:r w:rsidRPr="00FA510A">
        <w:rPr>
          <w:rFonts w:ascii="Arial Narrow" w:eastAsia="Arial Narrow" w:hAnsi="Arial Narrow" w:cs="Arial Narrow"/>
          <w:sz w:val="24"/>
          <w:szCs w:val="24"/>
        </w:rPr>
        <w:t xml:space="preserve"> El Ministerio de Agricultura y Desarrollo Rural diseñará programa de sustitución y reducción de cultivos de cannabis no licenciados para comunidades étnicas y campesinas con cultivos preexistentes con el fin de incentivar el fortalecimiento de la seguridad alimentaria del país y la diversificación de los cultivos.</w:t>
      </w:r>
    </w:p>
    <w:p w14:paraId="6BD843D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58:</w:t>
      </w:r>
      <w:r w:rsidRPr="00FA510A">
        <w:rPr>
          <w:rFonts w:ascii="Arial Narrow" w:eastAsia="Arial Narrow" w:hAnsi="Arial Narrow" w:cs="Arial Narrow"/>
          <w:sz w:val="24"/>
          <w:szCs w:val="24"/>
        </w:rPr>
        <w:t xml:space="preserve"> el Ministerio de Justicia y Derecho y el Ministerio de Salud junto a las comunidades definirán protocolos diferenciados mediante los cuales se impulsarán las iniciativas económicas de producción, transformación y distribución de productos derivados de la planta de cannabis, que desarrollen las comunidades étnicas y campesinas con cultivos preexistentes además asegurará el acceso a pruebas de laboratorios que permitan los análisis requeridos en la presente ley.</w:t>
      </w:r>
    </w:p>
    <w:p w14:paraId="62AF99C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El Ministerio de Justicia y del Derecho, el Ministerio de Salud y el Ministerio de Agricultura y Desarrollo Rural diseñarán e implementarán junto a las comunidades étnicas y campesinas con cultivos preexistentes una prueba piloto para la producción, transporte y distribución del cannabis de uso adulto.</w:t>
      </w:r>
    </w:p>
    <w:p w14:paraId="05AC095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El Ministerio de Justicia y del Derecho y el Ministerio de Salud expedirá en un término máximo de seis (6) meses a partir de la vigencia de la presente Ley, la correspondiente reglamentación referente a los protocolos diferenciados.</w:t>
      </w:r>
    </w:p>
    <w:p w14:paraId="33EF2D77"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XII INVESTIGACIÓN Y DESARROLLO</w:t>
      </w:r>
    </w:p>
    <w:p w14:paraId="79B0066B"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59:</w:t>
      </w:r>
      <w:r w:rsidRPr="00FA510A">
        <w:rPr>
          <w:rFonts w:ascii="Arial Narrow" w:eastAsia="Arial Narrow" w:hAnsi="Arial Narrow" w:cs="Arial Narrow"/>
          <w:sz w:val="24"/>
          <w:szCs w:val="24"/>
        </w:rPr>
        <w:t xml:space="preserve"> El estado a través del Ministerio de Salud impulsará y financiará estudios clínicos y diferentes investigaciones que permitan la identificación de los potenciales riesgos o beneficios del cannabis y otros estupefacientes con potencial medicinal.</w:t>
      </w:r>
    </w:p>
    <w:p w14:paraId="70F32F0E"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60: </w:t>
      </w:r>
      <w:r w:rsidRPr="00FA510A">
        <w:rPr>
          <w:rFonts w:ascii="Arial Narrow" w:eastAsia="Arial Narrow" w:hAnsi="Arial Narrow" w:cs="Arial Narrow"/>
          <w:sz w:val="24"/>
          <w:szCs w:val="24"/>
        </w:rPr>
        <w:t>El Ministerio de Ciencias Tecnología e Innovación, el Ministerio de Agricultura y Desarrollo Rural Impulsarán y financiarán la creación de áreas de investigación Científica, medicinal, industrial y alimenticio del Cannabis, otras plantas y hongos con potencial medicinal e industrial.</w:t>
      </w:r>
    </w:p>
    <w:p w14:paraId="3C61136A"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61: Acceso al sistema financiero.</w:t>
      </w:r>
      <w:r w:rsidRPr="00FA510A">
        <w:rPr>
          <w:rFonts w:ascii="Arial Narrow" w:eastAsia="Arial Narrow" w:hAnsi="Arial Narrow" w:cs="Arial Narrow"/>
          <w:color w:val="000000"/>
          <w:sz w:val="24"/>
          <w:szCs w:val="24"/>
        </w:rPr>
        <w:t xml:space="preserve"> Toda persona natural y/o jurídica que cuente con licencias para el cultivo de cannabis en cualquiera de sus modalidades por tratarse de una actividad lícita, regulada y vigilada por el Estado </w:t>
      </w:r>
      <w:r w:rsidRPr="00FA510A">
        <w:rPr>
          <w:rFonts w:ascii="Arial Narrow" w:eastAsia="Arial Narrow" w:hAnsi="Arial Narrow" w:cs="Arial Narrow"/>
          <w:sz w:val="24"/>
          <w:szCs w:val="24"/>
        </w:rPr>
        <w:t>podrá</w:t>
      </w:r>
      <w:r w:rsidRPr="00FA510A">
        <w:rPr>
          <w:rFonts w:ascii="Arial Narrow" w:eastAsia="Arial Narrow" w:hAnsi="Arial Narrow" w:cs="Arial Narrow"/>
          <w:color w:val="000000"/>
          <w:sz w:val="24"/>
          <w:szCs w:val="24"/>
        </w:rPr>
        <w:t xml:space="preserve"> contratar o suscribir productos y/o servicios con entidades financieras sujetas a la supervisión de la 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73328F90"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75BA8125"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exigirán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0EF94FC5"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p w14:paraId="0D75FEA1"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62:</w:t>
      </w:r>
      <w:r w:rsidRPr="00FA510A">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w:t>
      </w:r>
    </w:p>
    <w:p w14:paraId="02B61399"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63:</w:t>
      </w:r>
      <w:r w:rsidRPr="00FA510A">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p w14:paraId="1E1A9566" w14:textId="77777777" w:rsidR="000E2DFA" w:rsidRPr="00FA510A" w:rsidRDefault="0003031B">
      <w:pPr>
        <w:spacing w:line="276" w:lineRule="auto"/>
        <w:jc w:val="center"/>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CAPÍTULO XIII ESQUEMA IMPOSITIVO</w:t>
      </w:r>
    </w:p>
    <w:p w14:paraId="7CE2221A" w14:textId="77777777" w:rsidR="000E2DFA" w:rsidRPr="00FA510A" w:rsidRDefault="0003031B">
      <w:pPr>
        <w:spacing w:before="280"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64. Tasa impositiva.</w:t>
      </w:r>
      <w:r w:rsidRPr="00FA510A">
        <w:rPr>
          <w:rFonts w:ascii="Arial Narrow" w:eastAsia="Arial Narrow" w:hAnsi="Arial Narrow" w:cs="Arial Narrow"/>
          <w:sz w:val="24"/>
          <w:szCs w:val="24"/>
        </w:rPr>
        <w:t xml:space="preserve"> Créase una tasa al consumo de cannabis y derivados de uso adulto que lo contengan. </w:t>
      </w:r>
    </w:p>
    <w:p w14:paraId="0A432B32"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 contribución al consumo de cannabis y derivados que la contengan, de uso adulto, será del veinte (20%) de la base gravable. </w:t>
      </w:r>
    </w:p>
    <w:p w14:paraId="4DDCD86F"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La base gravable será el precio bruto de venta del producto de cannabis o derivados que lo contengan, de uso adulto. Entiéndase por valor bruto de venta, el precio del producto consumido o adquirido por el aportante. </w:t>
      </w:r>
    </w:p>
    <w:p w14:paraId="2C67E7CD"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3 </w:t>
      </w:r>
      <w:r w:rsidRPr="00FA510A">
        <w:rPr>
          <w:rFonts w:ascii="Arial Narrow" w:eastAsia="Arial Narrow" w:hAnsi="Arial Narrow" w:cs="Arial Narrow"/>
          <w:sz w:val="24"/>
          <w:szCs w:val="24"/>
        </w:rPr>
        <w:t xml:space="preserve">El Gobierno nacional estará facultado para disminuir la tasa al consumo de cannabis si los costos de acceso no permiten la desarticulación del mercado ilegal. </w:t>
      </w:r>
    </w:p>
    <w:p w14:paraId="29347645"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XIV DESPENALIZACIÓN, ANTECEDENTES Y MEDIDAS CORRECTIVAS</w:t>
      </w:r>
    </w:p>
    <w:p w14:paraId="5CAA03E4" w14:textId="77777777" w:rsidR="000E2DFA" w:rsidRPr="00FA510A" w:rsidRDefault="0003031B">
      <w:pPr>
        <w:spacing w:line="276" w:lineRule="auto"/>
        <w:jc w:val="both"/>
        <w:rPr>
          <w:rFonts w:ascii="Arial Narrow" w:eastAsia="Arial Narrow" w:hAnsi="Arial Narrow" w:cs="Arial Narrow"/>
          <w:b/>
          <w:sz w:val="24"/>
          <w:szCs w:val="24"/>
        </w:rPr>
      </w:pPr>
      <w:r w:rsidRPr="00FA510A">
        <w:rPr>
          <w:rFonts w:ascii="Arial Narrow" w:eastAsia="Arial Narrow" w:hAnsi="Arial Narrow" w:cs="Arial Narrow"/>
          <w:b/>
          <w:sz w:val="24"/>
          <w:szCs w:val="24"/>
        </w:rPr>
        <w:t>Artículo 65:</w:t>
      </w:r>
      <w:r w:rsidRPr="00FA510A">
        <w:rPr>
          <w:rFonts w:ascii="Arial Narrow" w:eastAsia="Arial Narrow" w:hAnsi="Arial Narrow" w:cs="Arial Narrow"/>
          <w:sz w:val="24"/>
          <w:szCs w:val="24"/>
        </w:rPr>
        <w:t xml:space="preserve"> el Ministerio de Justicia y Derecho y el Ministerio de Salud y Protección social desarrollarán una campaña de sensibilización nacional sobre el alcance y la correcta aplicación de la regulación especialmente a los funcionarios públicos encargados en la aplicación de la presente ley.</w:t>
      </w:r>
    </w:p>
    <w:p w14:paraId="01641EF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66:</w:t>
      </w:r>
      <w:r w:rsidRPr="00FA510A">
        <w:rPr>
          <w:rFonts w:ascii="Arial Narrow" w:eastAsia="Arial Narrow" w:hAnsi="Arial Narrow" w:cs="Arial Narrow"/>
          <w:sz w:val="24"/>
          <w:szCs w:val="24"/>
        </w:rPr>
        <w:t xml:space="preserve"> Modifíquese el inciso tercero del artículo 375º de la Ley 599 de 2000, el cual quedará así: La</w:t>
      </w:r>
      <w:r w:rsidRPr="00FA510A">
        <w:rPr>
          <w:rFonts w:ascii="Arial Narrow" w:eastAsia="Arial Narrow" w:hAnsi="Arial Narrow" w:cs="Arial Narrow"/>
          <w:b/>
          <w:sz w:val="24"/>
          <w:szCs w:val="24"/>
          <w:u w:val="single"/>
        </w:rPr>
        <w:t xml:space="preserve"> </w:t>
      </w:r>
      <w:r w:rsidRPr="00FA510A">
        <w:rPr>
          <w:rFonts w:ascii="Arial Narrow" w:eastAsia="Arial Narrow" w:hAnsi="Arial Narrow" w:cs="Arial Narrow"/>
          <w:sz w:val="24"/>
          <w:szCs w:val="24"/>
        </w:rPr>
        <w:t>conducta prevista en este artículo será atípica para el</w:t>
      </w:r>
      <w:r w:rsidRPr="00FA510A">
        <w:rPr>
          <w:rFonts w:ascii="Arial Narrow" w:eastAsia="Arial Narrow" w:hAnsi="Arial Narrow" w:cs="Arial Narrow"/>
          <w:b/>
          <w:sz w:val="24"/>
          <w:szCs w:val="24"/>
        </w:rPr>
        <w:t xml:space="preserve"> </w:t>
      </w:r>
      <w:r w:rsidRPr="00FA510A">
        <w:rPr>
          <w:rFonts w:ascii="Arial Narrow" w:eastAsia="Arial Narrow" w:hAnsi="Arial Narrow" w:cs="Arial Narrow"/>
          <w:sz w:val="24"/>
          <w:szCs w:val="24"/>
        </w:rPr>
        <w:t>cannabis, siempre y cuando se cultive, produzca y dispense conforme a lo establecido en las leyes y reglamentos y licencias exigidas por el Gobierno Nacional.</w:t>
      </w:r>
    </w:p>
    <w:p w14:paraId="7904BB19"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67:</w:t>
      </w:r>
      <w:r w:rsidRPr="00FA510A">
        <w:rPr>
          <w:rFonts w:ascii="Arial Narrow" w:eastAsia="Arial Narrow" w:hAnsi="Arial Narrow" w:cs="Arial Narrow"/>
          <w:sz w:val="24"/>
          <w:szCs w:val="24"/>
        </w:rPr>
        <w:t xml:space="preserve"> Modifíquese el inciso segundo del artículo 376º de la Ley 599 de 2000, el cual quedará así: Las conductas previstas en este artículo será atípica para el cannabis, siempre y cuando se cultive, produzca y dispense conforme a lo establecido en las leyes y reglamentos y licencias exigidas por el Gobierno Nacional.</w:t>
      </w:r>
    </w:p>
    <w:p w14:paraId="458AB853" w14:textId="77777777" w:rsidR="000E2DFA" w:rsidRPr="00FA510A" w:rsidRDefault="0003031B">
      <w:pPr>
        <w:spacing w:line="276" w:lineRule="auto"/>
        <w:rPr>
          <w:rFonts w:ascii="Arial Narrow" w:eastAsia="Arial Narrow" w:hAnsi="Arial Narrow" w:cs="Arial Narrow"/>
          <w:sz w:val="24"/>
          <w:szCs w:val="24"/>
        </w:rPr>
      </w:pPr>
      <w:r w:rsidRPr="00FA510A">
        <w:rPr>
          <w:rFonts w:ascii="Arial Narrow" w:eastAsia="Arial Narrow" w:hAnsi="Arial Narrow" w:cs="Arial Narrow"/>
          <w:b/>
          <w:sz w:val="24"/>
          <w:szCs w:val="24"/>
        </w:rPr>
        <w:t>Artículo 68:</w:t>
      </w:r>
      <w:r w:rsidRPr="00FA510A">
        <w:rPr>
          <w:rFonts w:ascii="Arial Narrow" w:eastAsia="Arial Narrow" w:hAnsi="Arial Narrow" w:cs="Arial Narrow"/>
          <w:sz w:val="24"/>
          <w:szCs w:val="24"/>
        </w:rPr>
        <w:t xml:space="preserve"> Modifíquese el inciso segundo del artículo 377º de la Ley 599 de 2000, el cual quedará así: Las conductas previstas en este artículo será atípica para el cannabis, siempre y cuando se cultive, produzca, dispense y porte conforme a lo establecido en las leyes y reglamentos y licencias exigidas por el Gobierno Nacional.</w:t>
      </w:r>
    </w:p>
    <w:p w14:paraId="75CE3279"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69:</w:t>
      </w:r>
      <w:r w:rsidRPr="00FA510A">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w:t>
      </w:r>
    </w:p>
    <w:p w14:paraId="0273427F"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70: </w:t>
      </w:r>
      <w:r w:rsidRPr="00FA510A">
        <w:rPr>
          <w:rFonts w:ascii="Arial Narrow" w:eastAsia="Arial Narrow" w:hAnsi="Arial Narrow" w:cs="Arial Narrow"/>
          <w:sz w:val="24"/>
          <w:szCs w:val="24"/>
        </w:rPr>
        <w:t>en aplicación al principio de favorabilidad penal las personas que se encuentren imputadas y condenadas por delitos exclusivamente relacionados al cannabis podrán solicitar ante el juez de conocimiento o de ejecución de penas su excarcelación.</w:t>
      </w:r>
    </w:p>
    <w:p w14:paraId="1ACAC367"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las personas que tengan en el momento de la entrada en vigencia de la presente ley podrán solicitar la eliminación de las multas de código de policía en actividades relacionadas con el cannabis.</w:t>
      </w:r>
    </w:p>
    <w:p w14:paraId="6FB701E9" w14:textId="77777777" w:rsidR="000E2DFA" w:rsidRPr="00FA510A" w:rsidRDefault="0003031B">
      <w:pPr>
        <w:spacing w:before="280"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XV DISPOSICIONES FINALES</w:t>
      </w:r>
    </w:p>
    <w:p w14:paraId="5AD14107" w14:textId="4A0D1F98"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71.</w:t>
      </w:r>
      <w:r w:rsidRPr="00FA510A">
        <w:rPr>
          <w:rFonts w:ascii="Arial Narrow" w:eastAsia="Arial Narrow" w:hAnsi="Arial Narrow" w:cs="Arial Narrow"/>
          <w:sz w:val="24"/>
          <w:szCs w:val="24"/>
        </w:rPr>
        <w:t xml:space="preserve"> </w:t>
      </w:r>
      <w:r w:rsidRPr="00FA510A">
        <w:rPr>
          <w:rFonts w:ascii="Arial Narrow" w:eastAsia="Arial Narrow" w:hAnsi="Arial Narrow" w:cs="Arial Narrow"/>
          <w:b/>
          <w:sz w:val="24"/>
          <w:szCs w:val="24"/>
        </w:rPr>
        <w:t xml:space="preserve">Reglamentación. </w:t>
      </w:r>
      <w:r w:rsidRPr="00FA510A">
        <w:rPr>
          <w:rFonts w:ascii="Arial Narrow" w:eastAsia="Arial Narrow" w:hAnsi="Arial Narrow" w:cs="Arial Narrow"/>
          <w:sz w:val="24"/>
          <w:szCs w:val="24"/>
        </w:rPr>
        <w:t>El Gobierno nacional deberá expedir la reglamentación sobre el cannabis para uso adulto y sus derivados en un término de seis (6) meses, que se contará a partir de la sanción de la presente ley.</w:t>
      </w:r>
    </w:p>
    <w:p w14:paraId="28B88D46"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72. Educación en la prevención sobre los efectos nocivos del consumo de sustancias psicoactivas en las instituciones educativas: </w:t>
      </w:r>
      <w:r w:rsidRPr="00FA510A">
        <w:rPr>
          <w:rFonts w:ascii="Arial Narrow" w:eastAsia="Arial Narrow" w:hAnsi="Arial Narrow" w:cs="Arial Narrow"/>
          <w:sz w:val="24"/>
          <w:szCs w:val="24"/>
        </w:rPr>
        <w:t xml:space="preserve">De los recursos derivados del recaudo por los impuestos generados del nuevo mercado del cannabis se destinará un veinticinco por ciento (25%) para la financiación de los programas educativos en la prevención de los efectos nocivos del consumo de sustancias psicoactivas en todas las instituciones educativas en sus diferentes niveles y formas. </w:t>
      </w:r>
    </w:p>
    <w:p w14:paraId="4B108734"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73. Vigencia</w:t>
      </w:r>
      <w:r w:rsidRPr="00FA510A">
        <w:rPr>
          <w:rFonts w:ascii="Arial Narrow" w:eastAsia="Arial Narrow" w:hAnsi="Arial Narrow" w:cs="Arial Narrow"/>
          <w:b/>
          <w:i/>
          <w:sz w:val="24"/>
          <w:szCs w:val="24"/>
        </w:rPr>
        <w:t xml:space="preserve">. </w:t>
      </w:r>
      <w:r w:rsidRPr="00FA510A">
        <w:rPr>
          <w:rFonts w:ascii="Arial Narrow" w:eastAsia="Arial Narrow" w:hAnsi="Arial Narrow" w:cs="Arial Narrow"/>
          <w:sz w:val="24"/>
          <w:szCs w:val="24"/>
        </w:rPr>
        <w:t>La presente ley rige a partir de su promulgación y deroga todas las disposiciones que le sean contrarias.</w:t>
      </w:r>
    </w:p>
    <w:p w14:paraId="541FA863" w14:textId="77777777" w:rsidR="000E2DFA" w:rsidRPr="00FA510A" w:rsidRDefault="000E2DFA">
      <w:pPr>
        <w:spacing w:after="0" w:line="240" w:lineRule="auto"/>
        <w:jc w:val="both"/>
        <w:rPr>
          <w:rFonts w:ascii="Arial Narrow" w:eastAsia="Arial Narrow" w:hAnsi="Arial Narrow" w:cs="Arial Narrow"/>
          <w:b/>
          <w:sz w:val="24"/>
          <w:szCs w:val="24"/>
        </w:rPr>
      </w:pPr>
    </w:p>
    <w:p w14:paraId="5D8BB747" w14:textId="77777777" w:rsidR="000E2DFA" w:rsidRPr="00FA510A" w:rsidRDefault="000E2DFA">
      <w:pPr>
        <w:spacing w:after="0" w:line="240" w:lineRule="auto"/>
        <w:jc w:val="both"/>
        <w:rPr>
          <w:rFonts w:ascii="Arial Narrow" w:eastAsia="Arial Narrow" w:hAnsi="Arial Narrow" w:cs="Arial Narrow"/>
          <w:b/>
          <w:sz w:val="24"/>
          <w:szCs w:val="24"/>
        </w:rPr>
      </w:pPr>
    </w:p>
    <w:p w14:paraId="54030C6A" w14:textId="77777777" w:rsidR="000E2DFA" w:rsidRPr="00FA510A" w:rsidRDefault="000E2DFA">
      <w:pPr>
        <w:spacing w:after="0" w:line="240" w:lineRule="auto"/>
        <w:jc w:val="both"/>
        <w:rPr>
          <w:rFonts w:ascii="Arial Narrow" w:eastAsia="Arial Narrow" w:hAnsi="Arial Narrow" w:cs="Arial Narrow"/>
          <w:b/>
          <w:sz w:val="24"/>
          <w:szCs w:val="24"/>
        </w:rPr>
      </w:pPr>
    </w:p>
    <w:p w14:paraId="14000E62" w14:textId="77777777" w:rsidR="00730BAC" w:rsidRPr="00FA510A" w:rsidRDefault="00730BAC">
      <w:pPr>
        <w:spacing w:after="0" w:line="240" w:lineRule="auto"/>
        <w:jc w:val="both"/>
        <w:rPr>
          <w:rFonts w:ascii="Arial Narrow" w:eastAsia="Arial Narrow" w:hAnsi="Arial Narrow" w:cs="Arial Narrow"/>
          <w:b/>
          <w:sz w:val="24"/>
          <w:szCs w:val="24"/>
        </w:rPr>
      </w:pPr>
    </w:p>
    <w:p w14:paraId="61349134" w14:textId="77777777" w:rsidR="00730BAC" w:rsidRPr="00FA510A" w:rsidRDefault="00730BAC">
      <w:pPr>
        <w:spacing w:after="0" w:line="240" w:lineRule="auto"/>
        <w:jc w:val="both"/>
        <w:rPr>
          <w:rFonts w:ascii="Arial Narrow" w:eastAsia="Arial Narrow" w:hAnsi="Arial Narrow" w:cs="Arial Narrow"/>
          <w:b/>
          <w:sz w:val="24"/>
          <w:szCs w:val="24"/>
        </w:rPr>
      </w:pPr>
    </w:p>
    <w:p w14:paraId="38B35C4C" w14:textId="77777777" w:rsidR="000E2DFA" w:rsidRDefault="000E2DFA">
      <w:pPr>
        <w:spacing w:after="0" w:line="240" w:lineRule="auto"/>
        <w:jc w:val="both"/>
        <w:rPr>
          <w:rFonts w:ascii="Arial Narrow" w:eastAsia="Arial Narrow" w:hAnsi="Arial Narrow" w:cs="Arial Narrow"/>
          <w:b/>
          <w:sz w:val="24"/>
          <w:szCs w:val="24"/>
        </w:rPr>
      </w:pPr>
    </w:p>
    <w:p w14:paraId="53E8925F" w14:textId="77777777" w:rsidR="000E2DFA" w:rsidRDefault="000E2DFA">
      <w:pPr>
        <w:spacing w:after="0" w:line="240" w:lineRule="auto"/>
        <w:jc w:val="both"/>
        <w:rPr>
          <w:rFonts w:ascii="Arial Narrow" w:eastAsia="Arial Narrow" w:hAnsi="Arial Narrow" w:cs="Arial Narrow"/>
          <w:b/>
          <w:sz w:val="24"/>
          <w:szCs w:val="24"/>
        </w:rPr>
      </w:pPr>
    </w:p>
    <w:p w14:paraId="1C441A49" w14:textId="77777777" w:rsidR="000E2DFA" w:rsidRDefault="000E2DFA">
      <w:pPr>
        <w:spacing w:after="0" w:line="240" w:lineRule="auto"/>
        <w:jc w:val="both"/>
        <w:rPr>
          <w:rFonts w:ascii="Arial Narrow" w:eastAsia="Arial Narrow" w:hAnsi="Arial Narrow" w:cs="Arial Narrow"/>
          <w:b/>
          <w:sz w:val="24"/>
          <w:szCs w:val="24"/>
        </w:rPr>
      </w:pPr>
    </w:p>
    <w:p w14:paraId="7BB118D7" w14:textId="77777777" w:rsidR="000E2DFA" w:rsidRDefault="00730BAC">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ALEJANDRO </w:t>
      </w:r>
      <w:r w:rsidR="0003031B">
        <w:rPr>
          <w:rFonts w:ascii="Arial Narrow" w:eastAsia="Arial Narrow" w:hAnsi="Arial Narrow" w:cs="Arial Narrow"/>
          <w:b/>
          <w:sz w:val="24"/>
          <w:szCs w:val="24"/>
        </w:rPr>
        <w:t>OCAMPO GIRALDO</w:t>
      </w:r>
    </w:p>
    <w:p w14:paraId="5412E465" w14:textId="77777777" w:rsidR="000E2DFA" w:rsidRDefault="0003031B">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73D0CCEE" w14:textId="77777777" w:rsidR="00730BAC" w:rsidRDefault="00730BAC">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p w14:paraId="2C52C94A" w14:textId="77777777" w:rsidR="000E2DFA" w:rsidRDefault="000E2DFA">
      <w:pPr>
        <w:spacing w:after="0" w:line="240" w:lineRule="auto"/>
        <w:jc w:val="center"/>
        <w:rPr>
          <w:rFonts w:ascii="Arial Narrow" w:eastAsia="Arial Narrow" w:hAnsi="Arial Narrow" w:cs="Arial Narrow"/>
          <w:sz w:val="24"/>
          <w:szCs w:val="24"/>
        </w:rPr>
      </w:pPr>
    </w:p>
    <w:sectPr w:rsidR="000E2DFA">
      <w:headerReference w:type="even" r:id="rId13"/>
      <w:headerReference w:type="default" r:id="rId14"/>
      <w:footerReference w:type="default" r:id="rId15"/>
      <w:headerReference w:type="first" r:id="rId16"/>
      <w:pgSz w:w="12240" w:h="15840"/>
      <w:pgMar w:top="627" w:right="1701" w:bottom="1417" w:left="1701" w:header="1449" w:footer="51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A3D9A" w14:textId="77777777" w:rsidR="008A1C7A" w:rsidRDefault="008A1C7A">
      <w:pPr>
        <w:spacing w:after="0" w:line="240" w:lineRule="auto"/>
      </w:pPr>
      <w:r>
        <w:separator/>
      </w:r>
    </w:p>
  </w:endnote>
  <w:endnote w:type="continuationSeparator" w:id="0">
    <w:p w14:paraId="466AB072" w14:textId="77777777" w:rsidR="008A1C7A" w:rsidRDefault="008A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panose1 w:val="00000000000000000000"/>
    <w:charset w:val="00"/>
    <w:family w:val="roman"/>
    <w:notTrueType/>
    <w:pitch w:val="default"/>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91E18" w14:textId="4037A528" w:rsidR="009E1B71" w:rsidRDefault="009E1B71">
    <w:r>
      <w:rPr>
        <w:color w:val="808080"/>
      </w:rPr>
      <w:t>RadicaciónRegulación de Cannabis de uso adulto</w:t>
    </w:r>
    <w:r>
      <w:rPr>
        <w:color w:val="000000"/>
      </w:rPr>
      <w:fldChar w:fldCharType="begin"/>
    </w:r>
    <w:r>
      <w:rPr>
        <w:color w:val="000000"/>
      </w:rPr>
      <w:instrText>PAGE</w:instrText>
    </w:r>
    <w:r>
      <w:rPr>
        <w:color w:val="000000"/>
      </w:rPr>
      <w:fldChar w:fldCharType="separate"/>
    </w:r>
    <w:r w:rsidR="00776768">
      <w:rPr>
        <w:noProof/>
        <w:color w:val="000000"/>
      </w:rPr>
      <w:t>2</w:t>
    </w:r>
    <w:r>
      <w:rPr>
        <w:color w:val="000000"/>
      </w:rPr>
      <w:fldChar w:fldCharType="end"/>
    </w:r>
    <w:r>
      <w:rPr>
        <w:noProof/>
      </w:rPr>
      <w:drawing>
        <wp:anchor distT="0" distB="0" distL="114300" distR="114300" simplePos="0" relativeHeight="251656192" behindDoc="0" locked="0" layoutInCell="1" hidden="0" allowOverlap="1" wp14:anchorId="7CCD71F5" wp14:editId="7099B093">
          <wp:simplePos x="0" y="0"/>
          <wp:positionH relativeFrom="column">
            <wp:posOffset>-1251584</wp:posOffset>
          </wp:positionH>
          <wp:positionV relativeFrom="paragraph">
            <wp:posOffset>671195</wp:posOffset>
          </wp:positionV>
          <wp:extent cx="8037195" cy="24765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2917"/>
                  <a:stretch>
                    <a:fillRect/>
                  </a:stretch>
                </pic:blipFill>
                <pic:spPr>
                  <a:xfrm>
                    <a:off x="0" y="0"/>
                    <a:ext cx="8037195" cy="247650"/>
                  </a:xfrm>
                  <a:prstGeom prst="rect">
                    <a:avLst/>
                  </a:prstGeom>
                  <a:ln/>
                </pic:spPr>
              </pic:pic>
            </a:graphicData>
          </a:graphic>
        </wp:anchor>
      </w:drawing>
    </w:r>
    <w:r>
      <w:rPr>
        <w:noProof/>
      </w:rPr>
      <w:drawing>
        <wp:anchor distT="0" distB="0" distL="114300" distR="114300" simplePos="0" relativeHeight="251657216" behindDoc="0" locked="0" layoutInCell="1" hidden="0" allowOverlap="1" wp14:anchorId="5317D8E2" wp14:editId="54E83C14">
          <wp:simplePos x="0" y="0"/>
          <wp:positionH relativeFrom="column">
            <wp:posOffset>1</wp:posOffset>
          </wp:positionH>
          <wp:positionV relativeFrom="paragraph">
            <wp:posOffset>0</wp:posOffset>
          </wp:positionV>
          <wp:extent cx="8037195" cy="24765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2917"/>
                  <a:stretch>
                    <a:fillRect/>
                  </a:stretch>
                </pic:blipFill>
                <pic:spPr>
                  <a:xfrm>
                    <a:off x="0" y="0"/>
                    <a:ext cx="8037195" cy="247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8532A" w14:textId="77777777" w:rsidR="008A1C7A" w:rsidRDefault="008A1C7A">
      <w:pPr>
        <w:spacing w:after="0" w:line="240" w:lineRule="auto"/>
      </w:pPr>
      <w:r>
        <w:separator/>
      </w:r>
    </w:p>
  </w:footnote>
  <w:footnote w:type="continuationSeparator" w:id="0">
    <w:p w14:paraId="2ED76CF5" w14:textId="77777777" w:rsidR="008A1C7A" w:rsidRDefault="008A1C7A">
      <w:pPr>
        <w:spacing w:after="0" w:line="240" w:lineRule="auto"/>
      </w:pPr>
      <w:r>
        <w:continuationSeparator/>
      </w:r>
    </w:p>
  </w:footnote>
  <w:footnote w:id="1">
    <w:p w14:paraId="14D710E9"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Oficina contra la Droga y El Delito de las Naciones Unidas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https://www.unodc.org/unodc/en/treaties/illicittrafficking.html?ref=menusidehttps://www.unodc.org/unodc/en/treaties/illicit-trafficking.html?ref=menuside</w:t>
      </w:r>
    </w:p>
  </w:footnote>
  <w:footnote w:id="2">
    <w:p w14:paraId="19B06D26"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Corte Suprema de Justicia, Sala Plena: Sentencia No. 1 del 21 de enero de 1988. Ms.Ps. Drs. Jesús Vallejo Mejía, Jairo E. Duque Pérez y Dídimo Páez Valandia. Ref. Exp. 1639. Actor: Santiago Uribe Ortíz. Gaceta Judicial, Jurisprudencia Constitucional, Primer Semestre, 1988, págs. 5 a 64</w:t>
      </w:r>
    </w:p>
  </w:footnote>
  <w:footnote w:id="3">
    <w:p w14:paraId="20580E9E" w14:textId="77777777" w:rsidR="009E1B71" w:rsidRDefault="009E1B71" w:rsidP="0086045B">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Principios Para Una Regulación Responsable Del Uso Adulto Del Cannabis En Colombia,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https://www.dejusticia.org/wp-content/uploads/2019/11/Principios-para-una-regulaci%C3%B3n-responsable-del-uso-adulto-del-cannabis-en-Colombia-digital.pdf</w:t>
      </w:r>
    </w:p>
  </w:footnote>
  <w:footnote w:id="4">
    <w:p w14:paraId="6D3585A2"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Ibidem</w:t>
      </w:r>
    </w:p>
  </w:footnote>
  <w:footnote w:id="5">
    <w:p w14:paraId="39548792"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Espectador.  La Marihuana que Ilumina el Cauca 2022.  Recuperado https://www.elespectador.com/colombia/legalizacion-de-la-marihuana-rutas-produccion-y-consumo-en-el-cauca-colombia/</w:t>
      </w:r>
    </w:p>
  </w:footnote>
  <w:footnote w:id="6">
    <w:p w14:paraId="7AE1BF48"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Ministerio de Justicia boletín sobre precios de las drogas ilícitas 2021. Recuperado https://www.minjusticia.gov.co/programas-co/ODC/Paginas/Publicaciones-ODC.aspx</w:t>
      </w:r>
    </w:p>
  </w:footnote>
  <w:footnote w:id="7">
    <w:p w14:paraId="417425CB" w14:textId="77777777" w:rsidR="009E1B71" w:rsidRDefault="009E1B71" w:rsidP="0086045B">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Datos de pobreza monetaria en Colombia para 2021, DANE,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https://www.dane.gov.co/index.php/estadisticas-por-tema/pobreza-y-condiciones-de-vida/pobreza-monetaria</w:t>
      </w:r>
    </w:p>
    <w:p w14:paraId="1FDAA14F" w14:textId="77777777" w:rsidR="009E1B71" w:rsidRDefault="009E1B71" w:rsidP="0086045B">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footnote>
  <w:footnote w:id="8">
    <w:p w14:paraId="216B0EE5"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DeJusticia. Impuestos: ¿cómo podrían guiar la regulación del cannabis para uso adulto en Colombia? </w:t>
      </w:r>
      <w:hyperlink r:id="rId1">
        <w:r>
          <w:rPr>
            <w:rFonts w:ascii="Times New Roman" w:eastAsia="Times New Roman" w:hAnsi="Times New Roman"/>
            <w:color w:val="0563C1"/>
            <w:sz w:val="20"/>
            <w:szCs w:val="20"/>
            <w:u w:val="single"/>
          </w:rPr>
          <w:t>https://www.dejusticia.org/impuestos-como-podrian-guiar-la-regulacion-del-cannabis-para-uso-adulto-en-colombia/</w:t>
        </w:r>
      </w:hyperlink>
      <w:r>
        <w:rPr>
          <w:rFonts w:ascii="Times New Roman" w:eastAsia="Times New Roman" w:hAnsi="Times New Roman"/>
          <w:color w:val="000000"/>
          <w:sz w:val="20"/>
          <w:szCs w:val="20"/>
        </w:rPr>
        <w:t xml:space="preserve"> </w:t>
      </w:r>
    </w:p>
  </w:footnote>
  <w:footnote w:id="9">
    <w:p w14:paraId="23272DB3"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Observatorio de Drogas. Estudio Nacional de Sustancias psicoactivas 2019. Recuperado de https://www.minjusticia.gov.co/programas-co/ODC/Documents/Publicaciones/Consumo/Estudios/estudio%20Nacional%20de%20consumo%202019v2.pdf?csf=1&amp;e=iV5lh3</w:t>
      </w:r>
    </w:p>
  </w:footnote>
  <w:footnote w:id="10">
    <w:p w14:paraId="311102F2"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COLOMBIANO, ¿Cómo es el consumidor de cannabis actual? Secretaría de Salud lo caracterizó 2021. Recuperado de https://www.elcolombiano.com/colombia/caracteristicas-de-los-consumidores-de-cannabis-en-bogota-colombia-OF16756866</w:t>
      </w:r>
    </w:p>
  </w:footnote>
  <w:footnote w:id="11">
    <w:p w14:paraId="74AACC5C"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Centro de estudios sobre seguridad y drogas (cesed). Serie Cannabis Legal | Evolución de la normativa mundial 2020 </w:t>
      </w:r>
      <w:hyperlink r:id="rId2">
        <w:r>
          <w:rPr>
            <w:rFonts w:ascii="Times New Roman" w:eastAsia="Times New Roman" w:hAnsi="Times New Roman"/>
            <w:color w:val="0563C1"/>
            <w:sz w:val="20"/>
            <w:szCs w:val="20"/>
            <w:u w:val="single"/>
          </w:rPr>
          <w:t>nota-macroeconomica-37.pdf (uniandes.edu.co)</w:t>
        </w:r>
      </w:hyperlink>
    </w:p>
    <w:p w14:paraId="576EEC71"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2">
    <w:p w14:paraId="5571912D"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Contaminantes en cannabis.2022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https://www.fundacion-canna.es/contaminantes-en-cannabis</w:t>
      </w:r>
    </w:p>
  </w:footnote>
  <w:footnote w:id="13">
    <w:p w14:paraId="00DB5B4B"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Modelos De Regulación Legal Del Cannabis En Estados Unidos 2020.  Recuperado de https://www.mucd.org.mx/wp-content/uploads/2020/06/Modelos-de-regulacio%CC%81n-legal-del-cannabis-en-Estados-Unidos_MUCD_02junio2020.pdf</w:t>
      </w:r>
    </w:p>
  </w:footnote>
  <w:footnote w:id="14">
    <w:p w14:paraId="7A4A0DF4"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Harrar, S. 2019. Marihuana recreacional. AARP. Recuperado de https://www.aarp.org/espanol/salud/farmacos-y-suplementos/info-2019/marihuana-recreacional.html</w:t>
      </w:r>
    </w:p>
    <w:p w14:paraId="06065550"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5">
    <w:p w14:paraId="3C038CE5"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w:t>
      </w:r>
      <w:hyperlink r:id="rId3">
        <w:r>
          <w:rPr>
            <w:rFonts w:ascii="Helvetica Neue" w:eastAsia="Helvetica Neue" w:hAnsi="Helvetica Neue" w:cs="Helvetica Neue"/>
            <w:color w:val="000000"/>
            <w:sz w:val="20"/>
            <w:szCs w:val="20"/>
            <w:highlight w:val="white"/>
          </w:rPr>
          <w:t>Smith</w:t>
        </w:r>
      </w:hyperlink>
      <w:r>
        <w:rPr>
          <w:rFonts w:ascii="Times New Roman" w:eastAsia="Times New Roman" w:hAnsi="Times New Roman"/>
          <w:color w:val="000000"/>
          <w:sz w:val="20"/>
          <w:szCs w:val="20"/>
        </w:rPr>
        <w:t>. A 2018. La industria de la marihuana legal en Estados Unidos. Recuperado de https://cnnespanol.cnn.com/2018/02/01/marihuana-legal-estados-unidos-industria-auge/</w:t>
      </w:r>
    </w:p>
  </w:footnote>
  <w:footnote w:id="16">
    <w:p w14:paraId="6F40F4D2"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Cannabis control Commision.  Datos Abiertos / Ventas y Distribución de Productos 2022. Recuperado de https://masscannabiscontrol.com/open-data/sales-and-product-distribution/</w:t>
      </w:r>
    </w:p>
  </w:footnote>
  <w:footnote w:id="17">
    <w:p w14:paraId="29FD0F02"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Los impuestos del cannabis recaudado en Massachusetts superan a los del alcohol 2022. Recuperado de https://canamo.net/noticias/mundo/los-impuestos-del-cannabis-recaudados-en-massachusetts-superan-los-delalcohol#:~:text=El%20estado%20hab%C3%ADa%20recaudado%2074,los%20de%20las%20bebidas%20alcoh%C3%B3licas.</w:t>
      </w:r>
    </w:p>
  </w:footnote>
  <w:footnote w:id="18">
    <w:p w14:paraId="6C3576CC" w14:textId="77777777" w:rsidR="009E1B71" w:rsidRDefault="009E1B71"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Principios Fiscales Cannábicos: elementos para el debate regulatorio en Colombia. 2022 https://www.dejusticia.org/publication/principios-fiscales-cannabicos-elementos-para-el-debate-regulatorio-en-colombia/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88785" w14:textId="77777777" w:rsidR="009E1B71" w:rsidRDefault="008A1C7A">
    <w:pPr>
      <w:pBdr>
        <w:top w:val="nil"/>
        <w:left w:val="nil"/>
        <w:bottom w:val="nil"/>
        <w:right w:val="nil"/>
        <w:between w:val="nil"/>
      </w:pBdr>
      <w:tabs>
        <w:tab w:val="center" w:pos="4419"/>
        <w:tab w:val="right" w:pos="8838"/>
      </w:tabs>
      <w:spacing w:after="0" w:line="240" w:lineRule="auto"/>
      <w:rPr>
        <w:color w:val="000000"/>
      </w:rPr>
    </w:pPr>
    <w:r>
      <w:rPr>
        <w:color w:val="000000"/>
      </w:rPr>
      <w:pict w14:anchorId="4AB90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41.65pt;height:238.8pt;z-index:-251656192;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5800" w14:textId="77777777" w:rsidR="009E1B71" w:rsidRDefault="008A1C7A">
    <w:pPr>
      <w:pBdr>
        <w:top w:val="nil"/>
        <w:left w:val="nil"/>
        <w:bottom w:val="nil"/>
        <w:right w:val="nil"/>
        <w:between w:val="nil"/>
      </w:pBdr>
      <w:tabs>
        <w:tab w:val="center" w:pos="4419"/>
        <w:tab w:val="right" w:pos="8838"/>
      </w:tabs>
      <w:spacing w:after="0" w:line="240" w:lineRule="auto"/>
      <w:rPr>
        <w:color w:val="000000"/>
      </w:rPr>
    </w:pPr>
    <w:r>
      <w:rPr>
        <w:color w:val="000000"/>
      </w:rPr>
      <w:pict w14:anchorId="37596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1030.6pt;height:557.25pt;z-index:-251658240;mso-position-horizontal:center;mso-position-horizontal-relative:margin;mso-position-vertical:center;mso-position-vertical-relative:margin">
          <v:imagedata r:id="rId1" o:title="image2" gain="19661f" blacklevel="22938f"/>
          <w10:wrap anchorx="margin" anchory="margin"/>
        </v:shape>
      </w:pict>
    </w:r>
    <w:r w:rsidR="009E1B71">
      <w:rPr>
        <w:noProof/>
        <w:color w:val="000000"/>
      </w:rPr>
      <w:drawing>
        <wp:anchor distT="0" distB="0" distL="114300" distR="114300" simplePos="0" relativeHeight="251655168" behindDoc="0" locked="0" layoutInCell="1" hidden="0" allowOverlap="1" wp14:anchorId="0B746EFB" wp14:editId="0CD259D8">
          <wp:simplePos x="0" y="0"/>
          <wp:positionH relativeFrom="page">
            <wp:posOffset>28575</wp:posOffset>
          </wp:positionH>
          <wp:positionV relativeFrom="page">
            <wp:posOffset>0</wp:posOffset>
          </wp:positionV>
          <wp:extent cx="7707630" cy="1151890"/>
          <wp:effectExtent l="0" t="0" r="0" b="0"/>
          <wp:wrapTopAndBottom distT="0" dist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23419"/>
                  <a:stretch>
                    <a:fillRect/>
                  </a:stretch>
                </pic:blipFill>
                <pic:spPr>
                  <a:xfrm>
                    <a:off x="0" y="0"/>
                    <a:ext cx="7707630" cy="11518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B0F28" w14:textId="77777777" w:rsidR="009E1B71" w:rsidRDefault="008A1C7A">
    <w:pPr>
      <w:pBdr>
        <w:top w:val="nil"/>
        <w:left w:val="nil"/>
        <w:bottom w:val="nil"/>
        <w:right w:val="nil"/>
        <w:between w:val="nil"/>
      </w:pBdr>
      <w:tabs>
        <w:tab w:val="center" w:pos="4419"/>
        <w:tab w:val="right" w:pos="8838"/>
      </w:tabs>
      <w:spacing w:after="0" w:line="240" w:lineRule="auto"/>
      <w:rPr>
        <w:color w:val="000000"/>
      </w:rPr>
    </w:pPr>
    <w:r>
      <w:rPr>
        <w:color w:val="000000"/>
      </w:rPr>
      <w:pict w14:anchorId="38BBB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41.65pt;height:238.8pt;z-index:-251657216;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345"/>
    <w:multiLevelType w:val="multilevel"/>
    <w:tmpl w:val="44DE6C14"/>
    <w:lvl w:ilvl="0">
      <w:start w:val="4"/>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DE1E68"/>
    <w:multiLevelType w:val="multilevel"/>
    <w:tmpl w:val="58FE8538"/>
    <w:lvl w:ilvl="0">
      <w:start w:val="1"/>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872EBE"/>
    <w:multiLevelType w:val="multilevel"/>
    <w:tmpl w:val="D60036A4"/>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143F7D"/>
    <w:multiLevelType w:val="hybridMultilevel"/>
    <w:tmpl w:val="C764EF1C"/>
    <w:lvl w:ilvl="0" w:tplc="240A0013">
      <w:start w:val="1"/>
      <w:numFmt w:val="upperRoman"/>
      <w:lvlText w:val="%1."/>
      <w:lvlJc w:val="righ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B70D5A"/>
    <w:multiLevelType w:val="hybridMultilevel"/>
    <w:tmpl w:val="D26035DA"/>
    <w:lvl w:ilvl="0" w:tplc="248EA6EA">
      <w:start w:val="1"/>
      <w:numFmt w:val="upperRoman"/>
      <w:lvlText w:val="%1."/>
      <w:lvlJc w:val="righ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31523E2"/>
    <w:multiLevelType w:val="hybridMultilevel"/>
    <w:tmpl w:val="2EC0D428"/>
    <w:lvl w:ilvl="0" w:tplc="283008C0">
      <w:start w:val="1"/>
      <w:numFmt w:val="upperRoman"/>
      <w:lvlText w:val="%1."/>
      <w:lvlJc w:val="righ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3A5D99"/>
    <w:multiLevelType w:val="hybridMultilevel"/>
    <w:tmpl w:val="662C022A"/>
    <w:lvl w:ilvl="0" w:tplc="5CEC323A">
      <w:start w:val="1"/>
      <w:numFmt w:val="upperRoman"/>
      <w:lvlText w:val="%1."/>
      <w:lvlJc w:val="righ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633FE1"/>
    <w:multiLevelType w:val="multilevel"/>
    <w:tmpl w:val="CA60468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3493EC3"/>
    <w:multiLevelType w:val="multilevel"/>
    <w:tmpl w:val="F2380C7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335E4E07"/>
    <w:multiLevelType w:val="hybridMultilevel"/>
    <w:tmpl w:val="4AE20FC4"/>
    <w:lvl w:ilvl="0" w:tplc="24E84EAA">
      <w:start w:val="10"/>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2A0E44"/>
    <w:multiLevelType w:val="multilevel"/>
    <w:tmpl w:val="E8DCF812"/>
    <w:lvl w:ilvl="0">
      <w:start w:val="3"/>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610288"/>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3E57669"/>
    <w:multiLevelType w:val="multilevel"/>
    <w:tmpl w:val="D196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BE7CC2"/>
    <w:multiLevelType w:val="multilevel"/>
    <w:tmpl w:val="C9BCDF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6C41AC"/>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A46877"/>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E50779"/>
    <w:multiLevelType w:val="multilevel"/>
    <w:tmpl w:val="CAC0CF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F13C86"/>
    <w:multiLevelType w:val="multilevel"/>
    <w:tmpl w:val="2D3A5CC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5D217A9B"/>
    <w:multiLevelType w:val="multilevel"/>
    <w:tmpl w:val="AA8E965A"/>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3" w15:restartNumberingAfterBreak="0">
    <w:nsid w:val="62F50D46"/>
    <w:multiLevelType w:val="multilevel"/>
    <w:tmpl w:val="CAC0CF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660690"/>
    <w:multiLevelType w:val="multilevel"/>
    <w:tmpl w:val="EC6C86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6D2C7FAA"/>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2"/>
  </w:num>
  <w:num w:numId="3">
    <w:abstractNumId w:val="22"/>
  </w:num>
  <w:num w:numId="4">
    <w:abstractNumId w:val="17"/>
  </w:num>
  <w:num w:numId="5">
    <w:abstractNumId w:val="14"/>
  </w:num>
  <w:num w:numId="6">
    <w:abstractNumId w:val="10"/>
  </w:num>
  <w:num w:numId="7">
    <w:abstractNumId w:val="1"/>
  </w:num>
  <w:num w:numId="8">
    <w:abstractNumId w:val="9"/>
  </w:num>
  <w:num w:numId="9">
    <w:abstractNumId w:val="21"/>
  </w:num>
  <w:num w:numId="10">
    <w:abstractNumId w:val="24"/>
  </w:num>
  <w:num w:numId="11">
    <w:abstractNumId w:val="23"/>
  </w:num>
  <w:num w:numId="12">
    <w:abstractNumId w:val="3"/>
  </w:num>
  <w:num w:numId="13">
    <w:abstractNumId w:val="5"/>
  </w:num>
  <w:num w:numId="14">
    <w:abstractNumId w:val="7"/>
  </w:num>
  <w:num w:numId="15">
    <w:abstractNumId w:val="20"/>
  </w:num>
  <w:num w:numId="16">
    <w:abstractNumId w:val="8"/>
  </w:num>
  <w:num w:numId="17">
    <w:abstractNumId w:val="19"/>
  </w:num>
  <w:num w:numId="18">
    <w:abstractNumId w:val="0"/>
  </w:num>
  <w:num w:numId="19">
    <w:abstractNumId w:val="12"/>
  </w:num>
  <w:num w:numId="20">
    <w:abstractNumId w:val="6"/>
  </w:num>
  <w:num w:numId="21">
    <w:abstractNumId w:val="13"/>
  </w:num>
  <w:num w:numId="22">
    <w:abstractNumId w:val="4"/>
  </w:num>
  <w:num w:numId="23">
    <w:abstractNumId w:val="15"/>
  </w:num>
  <w:num w:numId="24">
    <w:abstractNumId w:val="25"/>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DFA"/>
    <w:rsid w:val="0003031B"/>
    <w:rsid w:val="000B4A96"/>
    <w:rsid w:val="000C6256"/>
    <w:rsid w:val="000E2DFA"/>
    <w:rsid w:val="001835CF"/>
    <w:rsid w:val="001E136B"/>
    <w:rsid w:val="00212D7F"/>
    <w:rsid w:val="002503BC"/>
    <w:rsid w:val="005B0BE1"/>
    <w:rsid w:val="006D6E5E"/>
    <w:rsid w:val="00713512"/>
    <w:rsid w:val="00730BAC"/>
    <w:rsid w:val="00741F39"/>
    <w:rsid w:val="00776768"/>
    <w:rsid w:val="0086045B"/>
    <w:rsid w:val="008A1C7A"/>
    <w:rsid w:val="009C1C8E"/>
    <w:rsid w:val="009E1B71"/>
    <w:rsid w:val="00A25F1B"/>
    <w:rsid w:val="00A825E8"/>
    <w:rsid w:val="00BA6733"/>
    <w:rsid w:val="00D94566"/>
    <w:rsid w:val="00F52C7A"/>
    <w:rsid w:val="00FA51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EDF73D"/>
  <w15:docId w15:val="{FD93B3D8-9563-4371-BDCA-E769B861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10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uiPriority w:val="1"/>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cs="Lohit Devanagari"/>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rPr>
      <w:i/>
      <w:color w:val="4472C4"/>
      <w:sz w:val="24"/>
      <w:szCs w:val="24"/>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lang w:eastAsia="es-MX"/>
    </w:rPr>
  </w:style>
  <w:style w:type="table" w:customStyle="1" w:styleId="TableNormal0">
    <w:name w:val="Table Normal"/>
    <w:rsid w:val="004E669E"/>
    <w:pPr>
      <w:suppressAutoHyphens/>
      <w:spacing w:after="0" w:line="240" w:lineRule="auto"/>
    </w:pPr>
    <w:rPr>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lang w:eastAsia="es-MX"/>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468">
      <w:bodyDiv w:val="1"/>
      <w:marLeft w:val="0"/>
      <w:marRight w:val="0"/>
      <w:marTop w:val="0"/>
      <w:marBottom w:val="0"/>
      <w:divBdr>
        <w:top w:val="none" w:sz="0" w:space="0" w:color="auto"/>
        <w:left w:val="none" w:sz="0" w:space="0" w:color="auto"/>
        <w:bottom w:val="none" w:sz="0" w:space="0" w:color="auto"/>
        <w:right w:val="none" w:sz="0" w:space="0" w:color="auto"/>
      </w:divBdr>
    </w:div>
    <w:div w:id="34740508">
      <w:bodyDiv w:val="1"/>
      <w:marLeft w:val="0"/>
      <w:marRight w:val="0"/>
      <w:marTop w:val="0"/>
      <w:marBottom w:val="0"/>
      <w:divBdr>
        <w:top w:val="none" w:sz="0" w:space="0" w:color="auto"/>
        <w:left w:val="none" w:sz="0" w:space="0" w:color="auto"/>
        <w:bottom w:val="none" w:sz="0" w:space="0" w:color="auto"/>
        <w:right w:val="none" w:sz="0" w:space="0" w:color="auto"/>
      </w:divBdr>
      <w:divsChild>
        <w:div w:id="1419136813">
          <w:marLeft w:val="0"/>
          <w:marRight w:val="0"/>
          <w:marTop w:val="60"/>
          <w:marBottom w:val="0"/>
          <w:divBdr>
            <w:top w:val="none" w:sz="0" w:space="0" w:color="auto"/>
            <w:left w:val="none" w:sz="0" w:space="0" w:color="auto"/>
            <w:bottom w:val="none" w:sz="0" w:space="0" w:color="auto"/>
            <w:right w:val="none" w:sz="0" w:space="0" w:color="auto"/>
          </w:divBdr>
          <w:divsChild>
            <w:div w:id="1953050636">
              <w:marLeft w:val="0"/>
              <w:marRight w:val="0"/>
              <w:marTop w:val="0"/>
              <w:marBottom w:val="0"/>
              <w:divBdr>
                <w:top w:val="none" w:sz="0" w:space="0" w:color="auto"/>
                <w:left w:val="none" w:sz="0" w:space="0" w:color="auto"/>
                <w:bottom w:val="none" w:sz="0" w:space="0" w:color="auto"/>
                <w:right w:val="none" w:sz="0" w:space="0" w:color="auto"/>
              </w:divBdr>
              <w:divsChild>
                <w:div w:id="2668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744">
      <w:bodyDiv w:val="1"/>
      <w:marLeft w:val="0"/>
      <w:marRight w:val="0"/>
      <w:marTop w:val="0"/>
      <w:marBottom w:val="0"/>
      <w:divBdr>
        <w:top w:val="none" w:sz="0" w:space="0" w:color="auto"/>
        <w:left w:val="none" w:sz="0" w:space="0" w:color="auto"/>
        <w:bottom w:val="none" w:sz="0" w:space="0" w:color="auto"/>
        <w:right w:val="none" w:sz="0" w:space="0" w:color="auto"/>
      </w:divBdr>
    </w:div>
    <w:div w:id="83113287">
      <w:bodyDiv w:val="1"/>
      <w:marLeft w:val="0"/>
      <w:marRight w:val="0"/>
      <w:marTop w:val="0"/>
      <w:marBottom w:val="0"/>
      <w:divBdr>
        <w:top w:val="none" w:sz="0" w:space="0" w:color="auto"/>
        <w:left w:val="none" w:sz="0" w:space="0" w:color="auto"/>
        <w:bottom w:val="none" w:sz="0" w:space="0" w:color="auto"/>
        <w:right w:val="none" w:sz="0" w:space="0" w:color="auto"/>
      </w:divBdr>
      <w:divsChild>
        <w:div w:id="2135245423">
          <w:marLeft w:val="0"/>
          <w:marRight w:val="0"/>
          <w:marTop w:val="0"/>
          <w:marBottom w:val="0"/>
          <w:divBdr>
            <w:top w:val="none" w:sz="0" w:space="0" w:color="auto"/>
            <w:left w:val="none" w:sz="0" w:space="0" w:color="auto"/>
            <w:bottom w:val="none" w:sz="0" w:space="0" w:color="auto"/>
            <w:right w:val="none" w:sz="0" w:space="0" w:color="auto"/>
          </w:divBdr>
        </w:div>
      </w:divsChild>
    </w:div>
    <w:div w:id="134219746">
      <w:bodyDiv w:val="1"/>
      <w:marLeft w:val="0"/>
      <w:marRight w:val="0"/>
      <w:marTop w:val="0"/>
      <w:marBottom w:val="0"/>
      <w:divBdr>
        <w:top w:val="none" w:sz="0" w:space="0" w:color="auto"/>
        <w:left w:val="none" w:sz="0" w:space="0" w:color="auto"/>
        <w:bottom w:val="none" w:sz="0" w:space="0" w:color="auto"/>
        <w:right w:val="none" w:sz="0" w:space="0" w:color="auto"/>
      </w:divBdr>
    </w:div>
    <w:div w:id="362022409">
      <w:bodyDiv w:val="1"/>
      <w:marLeft w:val="0"/>
      <w:marRight w:val="0"/>
      <w:marTop w:val="0"/>
      <w:marBottom w:val="0"/>
      <w:divBdr>
        <w:top w:val="none" w:sz="0" w:space="0" w:color="auto"/>
        <w:left w:val="none" w:sz="0" w:space="0" w:color="auto"/>
        <w:bottom w:val="none" w:sz="0" w:space="0" w:color="auto"/>
        <w:right w:val="none" w:sz="0" w:space="0" w:color="auto"/>
      </w:divBdr>
    </w:div>
    <w:div w:id="832457205">
      <w:bodyDiv w:val="1"/>
      <w:marLeft w:val="0"/>
      <w:marRight w:val="0"/>
      <w:marTop w:val="0"/>
      <w:marBottom w:val="0"/>
      <w:divBdr>
        <w:top w:val="none" w:sz="0" w:space="0" w:color="auto"/>
        <w:left w:val="none" w:sz="0" w:space="0" w:color="auto"/>
        <w:bottom w:val="none" w:sz="0" w:space="0" w:color="auto"/>
        <w:right w:val="none" w:sz="0" w:space="0" w:color="auto"/>
      </w:divBdr>
    </w:div>
    <w:div w:id="1087769650">
      <w:bodyDiv w:val="1"/>
      <w:marLeft w:val="0"/>
      <w:marRight w:val="0"/>
      <w:marTop w:val="0"/>
      <w:marBottom w:val="0"/>
      <w:divBdr>
        <w:top w:val="none" w:sz="0" w:space="0" w:color="auto"/>
        <w:left w:val="none" w:sz="0" w:space="0" w:color="auto"/>
        <w:bottom w:val="none" w:sz="0" w:space="0" w:color="auto"/>
        <w:right w:val="none" w:sz="0" w:space="0" w:color="auto"/>
      </w:divBdr>
      <w:divsChild>
        <w:div w:id="177819518">
          <w:marLeft w:val="0"/>
          <w:marRight w:val="0"/>
          <w:marTop w:val="0"/>
          <w:marBottom w:val="0"/>
          <w:divBdr>
            <w:top w:val="none" w:sz="0" w:space="0" w:color="auto"/>
            <w:left w:val="none" w:sz="0" w:space="0" w:color="auto"/>
            <w:bottom w:val="none" w:sz="0" w:space="0" w:color="auto"/>
            <w:right w:val="none" w:sz="0" w:space="0" w:color="auto"/>
          </w:divBdr>
        </w:div>
      </w:divsChild>
    </w:div>
    <w:div w:id="1087967671">
      <w:bodyDiv w:val="1"/>
      <w:marLeft w:val="0"/>
      <w:marRight w:val="0"/>
      <w:marTop w:val="0"/>
      <w:marBottom w:val="0"/>
      <w:divBdr>
        <w:top w:val="none" w:sz="0" w:space="0" w:color="auto"/>
        <w:left w:val="none" w:sz="0" w:space="0" w:color="auto"/>
        <w:bottom w:val="none" w:sz="0" w:space="0" w:color="auto"/>
        <w:right w:val="none" w:sz="0" w:space="0" w:color="auto"/>
      </w:divBdr>
    </w:div>
    <w:div w:id="1329864008">
      <w:bodyDiv w:val="1"/>
      <w:marLeft w:val="0"/>
      <w:marRight w:val="0"/>
      <w:marTop w:val="0"/>
      <w:marBottom w:val="0"/>
      <w:divBdr>
        <w:top w:val="none" w:sz="0" w:space="0" w:color="auto"/>
        <w:left w:val="none" w:sz="0" w:space="0" w:color="auto"/>
        <w:bottom w:val="none" w:sz="0" w:space="0" w:color="auto"/>
        <w:right w:val="none" w:sz="0" w:space="0" w:color="auto"/>
      </w:divBdr>
    </w:div>
    <w:div w:id="1532761403">
      <w:bodyDiv w:val="1"/>
      <w:marLeft w:val="0"/>
      <w:marRight w:val="0"/>
      <w:marTop w:val="0"/>
      <w:marBottom w:val="0"/>
      <w:divBdr>
        <w:top w:val="none" w:sz="0" w:space="0" w:color="auto"/>
        <w:left w:val="none" w:sz="0" w:space="0" w:color="auto"/>
        <w:bottom w:val="none" w:sz="0" w:space="0" w:color="auto"/>
        <w:right w:val="none" w:sz="0" w:space="0" w:color="auto"/>
      </w:divBdr>
    </w:div>
    <w:div w:id="1550415042">
      <w:bodyDiv w:val="1"/>
      <w:marLeft w:val="0"/>
      <w:marRight w:val="0"/>
      <w:marTop w:val="0"/>
      <w:marBottom w:val="0"/>
      <w:divBdr>
        <w:top w:val="none" w:sz="0" w:space="0" w:color="auto"/>
        <w:left w:val="none" w:sz="0" w:space="0" w:color="auto"/>
        <w:bottom w:val="none" w:sz="0" w:space="0" w:color="auto"/>
        <w:right w:val="none" w:sz="0" w:space="0" w:color="auto"/>
      </w:divBdr>
    </w:div>
    <w:div w:id="1552501714">
      <w:bodyDiv w:val="1"/>
      <w:marLeft w:val="0"/>
      <w:marRight w:val="0"/>
      <w:marTop w:val="0"/>
      <w:marBottom w:val="0"/>
      <w:divBdr>
        <w:top w:val="none" w:sz="0" w:space="0" w:color="auto"/>
        <w:left w:val="none" w:sz="0" w:space="0" w:color="auto"/>
        <w:bottom w:val="none" w:sz="0" w:space="0" w:color="auto"/>
        <w:right w:val="none" w:sz="0" w:space="0" w:color="auto"/>
      </w:divBdr>
    </w:div>
    <w:div w:id="1745101071">
      <w:bodyDiv w:val="1"/>
      <w:marLeft w:val="0"/>
      <w:marRight w:val="0"/>
      <w:marTop w:val="0"/>
      <w:marBottom w:val="0"/>
      <w:divBdr>
        <w:top w:val="none" w:sz="0" w:space="0" w:color="auto"/>
        <w:left w:val="none" w:sz="0" w:space="0" w:color="auto"/>
        <w:bottom w:val="none" w:sz="0" w:space="0" w:color="auto"/>
        <w:right w:val="none" w:sz="0" w:space="0" w:color="auto"/>
      </w:divBdr>
    </w:div>
    <w:div w:id="1758668015">
      <w:bodyDiv w:val="1"/>
      <w:marLeft w:val="0"/>
      <w:marRight w:val="0"/>
      <w:marTop w:val="0"/>
      <w:marBottom w:val="0"/>
      <w:divBdr>
        <w:top w:val="none" w:sz="0" w:space="0" w:color="auto"/>
        <w:left w:val="none" w:sz="0" w:space="0" w:color="auto"/>
        <w:bottom w:val="none" w:sz="0" w:space="0" w:color="auto"/>
        <w:right w:val="none" w:sz="0" w:space="0" w:color="auto"/>
      </w:divBdr>
    </w:div>
    <w:div w:id="1770809936">
      <w:bodyDiv w:val="1"/>
      <w:marLeft w:val="0"/>
      <w:marRight w:val="0"/>
      <w:marTop w:val="0"/>
      <w:marBottom w:val="0"/>
      <w:divBdr>
        <w:top w:val="none" w:sz="0" w:space="0" w:color="auto"/>
        <w:left w:val="none" w:sz="0" w:space="0" w:color="auto"/>
        <w:bottom w:val="none" w:sz="0" w:space="0" w:color="auto"/>
        <w:right w:val="none" w:sz="0" w:space="0" w:color="auto"/>
      </w:divBdr>
    </w:div>
    <w:div w:id="1989938732">
      <w:bodyDiv w:val="1"/>
      <w:marLeft w:val="0"/>
      <w:marRight w:val="0"/>
      <w:marTop w:val="0"/>
      <w:marBottom w:val="0"/>
      <w:divBdr>
        <w:top w:val="none" w:sz="0" w:space="0" w:color="auto"/>
        <w:left w:val="none" w:sz="0" w:space="0" w:color="auto"/>
        <w:bottom w:val="none" w:sz="0" w:space="0" w:color="auto"/>
        <w:right w:val="none" w:sz="0" w:space="0" w:color="auto"/>
      </w:divBdr>
      <w:divsChild>
        <w:div w:id="14113475">
          <w:marLeft w:val="0"/>
          <w:marRight w:val="0"/>
          <w:marTop w:val="60"/>
          <w:marBottom w:val="0"/>
          <w:divBdr>
            <w:top w:val="none" w:sz="0" w:space="0" w:color="auto"/>
            <w:left w:val="none" w:sz="0" w:space="0" w:color="auto"/>
            <w:bottom w:val="none" w:sz="0" w:space="0" w:color="auto"/>
            <w:right w:val="none" w:sz="0" w:space="0" w:color="auto"/>
          </w:divBdr>
          <w:divsChild>
            <w:div w:id="578252861">
              <w:marLeft w:val="0"/>
              <w:marRight w:val="0"/>
              <w:marTop w:val="0"/>
              <w:marBottom w:val="0"/>
              <w:divBdr>
                <w:top w:val="none" w:sz="0" w:space="0" w:color="auto"/>
                <w:left w:val="none" w:sz="0" w:space="0" w:color="auto"/>
                <w:bottom w:val="none" w:sz="0" w:space="0" w:color="auto"/>
                <w:right w:val="none" w:sz="0" w:space="0" w:color="auto"/>
              </w:divBdr>
              <w:divsChild>
                <w:div w:id="9927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6409">
      <w:bodyDiv w:val="1"/>
      <w:marLeft w:val="0"/>
      <w:marRight w:val="0"/>
      <w:marTop w:val="0"/>
      <w:marBottom w:val="0"/>
      <w:divBdr>
        <w:top w:val="none" w:sz="0" w:space="0" w:color="auto"/>
        <w:left w:val="none" w:sz="0" w:space="0" w:color="auto"/>
        <w:bottom w:val="none" w:sz="0" w:space="0" w:color="auto"/>
        <w:right w:val="none" w:sz="0" w:space="0" w:color="auto"/>
      </w:divBdr>
    </w:div>
    <w:div w:id="2066752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cnnespanol.cnn.com/author/aaron-smith/" TargetMode="External"/><Relationship Id="rId2" Type="http://schemas.openxmlformats.org/officeDocument/2006/relationships/hyperlink" Target="https://repositorio.uniandes.edu.co/bitstream/handle/1992/56781/nota-macroeconomica-37.pdf?sequence=1&amp;isAllowed=y" TargetMode="External"/><Relationship Id="rId1" Type="http://schemas.openxmlformats.org/officeDocument/2006/relationships/hyperlink" Target="https://www.dejusticia.org/impuestos-como-podrian-guiar-la-regulacion-del-cannabis-para-uso-adult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qNaJ5YBTvvlWOuPUzmLfQTGLCA==">CgMxLjAaIAoBMBIbChkIB0IVCgxBcmlhbCBOYXJyb3cSBUFyaWFsGiAKATESGwoZCAdCFQoMQXJpYWwgTmFycm93EgVBcmlhbBogCgEyEhsKGQgHQhUKDEFyaWFsIE5hcnJvdxIFQXJpYWwyCGguZ2pkZ3hzOAByITFrU3lrNzlXSEV2OElKVnJaU1hCUEh1U0d1dHdvbFNlNw==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304C5B-5278-44A4-9AA8-8855A623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13996</Words>
  <Characters>76981</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JOSUÉ DAVID GÓMEZ MOJICA</dc:creator>
  <cp:lastModifiedBy>Aura Esther Alvarez Rico</cp:lastModifiedBy>
  <cp:revision>2</cp:revision>
  <cp:lastPrinted>2024-10-29T14:34:00Z</cp:lastPrinted>
  <dcterms:created xsi:type="dcterms:W3CDTF">2024-10-29T15:33:00Z</dcterms:created>
  <dcterms:modified xsi:type="dcterms:W3CDTF">2024-10-29T15:33:00Z</dcterms:modified>
</cp:coreProperties>
</file>